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1CC8AB8" w:rsidR="00F110CD" w:rsidRPr="00674CA6" w:rsidRDefault="00F110CD">
      <w:pPr>
        <w:pStyle w:val="Header"/>
        <w:tabs>
          <w:tab w:val="right" w:pos="9639"/>
        </w:tabs>
        <w:rPr>
          <w:noProof w:val="0"/>
          <w:sz w:val="24"/>
          <w:szCs w:val="24"/>
          <w:lang w:val="de-DE"/>
        </w:rPr>
      </w:pPr>
      <w:bookmarkStart w:id="0" w:name="_GoBack"/>
      <w:bookmarkEnd w:id="0"/>
      <w:r w:rsidRPr="00674CA6">
        <w:rPr>
          <w:noProof w:val="0"/>
          <w:sz w:val="24"/>
          <w:szCs w:val="24"/>
          <w:lang w:val="de-DE"/>
        </w:rPr>
        <w:t>3GPP TSG RA</w:t>
      </w:r>
      <w:r w:rsidR="00BA1872" w:rsidRPr="00674CA6">
        <w:rPr>
          <w:noProof w:val="0"/>
          <w:sz w:val="24"/>
          <w:szCs w:val="24"/>
          <w:lang w:val="de-DE"/>
        </w:rPr>
        <w:t xml:space="preserve">N WG1 </w:t>
      </w:r>
      <w:r w:rsidR="00B65452" w:rsidRPr="00674CA6">
        <w:rPr>
          <w:noProof w:val="0"/>
          <w:sz w:val="24"/>
          <w:szCs w:val="24"/>
          <w:lang w:val="de-DE"/>
        </w:rPr>
        <w:t>#</w:t>
      </w:r>
      <w:r w:rsidR="00D05105">
        <w:rPr>
          <w:noProof w:val="0"/>
          <w:sz w:val="24"/>
          <w:szCs w:val="24"/>
          <w:lang w:val="de-DE"/>
        </w:rPr>
        <w:t>97</w:t>
      </w:r>
      <w:r w:rsidR="001348FE" w:rsidRPr="00674CA6">
        <w:rPr>
          <w:bCs/>
          <w:noProof w:val="0"/>
          <w:sz w:val="24"/>
          <w:szCs w:val="24"/>
          <w:lang w:val="de-DE"/>
        </w:rPr>
        <w:tab/>
      </w:r>
      <w:r w:rsidR="00BA1872" w:rsidRPr="00891B13">
        <w:rPr>
          <w:noProof w:val="0"/>
          <w:sz w:val="24"/>
          <w:szCs w:val="24"/>
          <w:lang w:val="de-DE"/>
        </w:rPr>
        <w:t>R1-</w:t>
      </w:r>
      <w:r w:rsidR="00461EB5" w:rsidRPr="00891B13">
        <w:rPr>
          <w:lang w:val="de-DE"/>
        </w:rPr>
        <w:t xml:space="preserve"> </w:t>
      </w:r>
      <w:r w:rsidR="00461EB5" w:rsidRPr="00891B13">
        <w:rPr>
          <w:noProof w:val="0"/>
          <w:sz w:val="24"/>
          <w:szCs w:val="24"/>
          <w:lang w:val="de-DE"/>
        </w:rPr>
        <w:t>19</w:t>
      </w:r>
      <w:r w:rsidR="00891B13" w:rsidRPr="007A442B">
        <w:rPr>
          <w:noProof w:val="0"/>
          <w:sz w:val="24"/>
          <w:szCs w:val="24"/>
          <w:lang w:val="de-DE"/>
        </w:rPr>
        <w:t>06659</w:t>
      </w:r>
    </w:p>
    <w:p w14:paraId="30E02940" w14:textId="1C156799" w:rsidR="00CA26CE" w:rsidRDefault="00D05105" w:rsidP="00CA26CE">
      <w:pPr>
        <w:pStyle w:val="Header"/>
        <w:rPr>
          <w:bCs/>
          <w:noProof w:val="0"/>
          <w:sz w:val="24"/>
          <w:szCs w:val="24"/>
        </w:rPr>
      </w:pPr>
      <w:r>
        <w:rPr>
          <w:bCs/>
          <w:noProof w:val="0"/>
          <w:sz w:val="24"/>
          <w:szCs w:val="24"/>
        </w:rPr>
        <w:t>Reno</w:t>
      </w:r>
      <w:r w:rsidR="00B65452">
        <w:rPr>
          <w:bCs/>
          <w:noProof w:val="0"/>
          <w:sz w:val="24"/>
          <w:szCs w:val="24"/>
        </w:rPr>
        <w:t xml:space="preserve">, </w:t>
      </w:r>
      <w:r>
        <w:rPr>
          <w:bCs/>
          <w:noProof w:val="0"/>
          <w:sz w:val="24"/>
          <w:szCs w:val="24"/>
        </w:rPr>
        <w:t>Nevada</w:t>
      </w:r>
      <w:r w:rsidR="00B65452">
        <w:rPr>
          <w:bCs/>
          <w:noProof w:val="0"/>
          <w:sz w:val="24"/>
          <w:szCs w:val="24"/>
        </w:rPr>
        <w:t xml:space="preserve">, </w:t>
      </w:r>
      <w:r>
        <w:rPr>
          <w:bCs/>
          <w:noProof w:val="0"/>
          <w:sz w:val="24"/>
          <w:szCs w:val="24"/>
        </w:rPr>
        <w:t>13</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17</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May</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5CF2DC4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w:t>
      </w:r>
      <w:r w:rsidR="00407ACD">
        <w:rPr>
          <w:rFonts w:cs="Arial"/>
          <w:b/>
          <w:bCs/>
          <w:sz w:val="24"/>
          <w:szCs w:val="24"/>
        </w:rPr>
        <w:t>2</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867F6D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5D3F1A" w:rsidRPr="003B3752">
        <w:rPr>
          <w:rFonts w:ascii="Arial" w:hAnsi="Arial" w:cs="Arial"/>
          <w:b/>
          <w:bCs/>
          <w:sz w:val="24"/>
          <w:szCs w:val="24"/>
        </w:rPr>
        <w:t xml:space="preserve">Views on </w:t>
      </w:r>
      <w:r w:rsidR="00407ACD">
        <w:rPr>
          <w:rFonts w:ascii="Arial" w:hAnsi="Arial" w:cs="Arial"/>
          <w:b/>
          <w:bCs/>
          <w:sz w:val="24"/>
          <w:szCs w:val="24"/>
        </w:rPr>
        <w:t>U</w:t>
      </w:r>
      <w:r w:rsidR="00AD372F" w:rsidRPr="003B3752">
        <w:rPr>
          <w:rFonts w:ascii="Arial" w:hAnsi="Arial" w:cs="Arial"/>
          <w:b/>
          <w:bCs/>
          <w:sz w:val="24"/>
          <w:szCs w:val="24"/>
        </w:rPr>
        <w:t>L</w:t>
      </w:r>
      <w:r w:rsidR="00D05105">
        <w:rPr>
          <w:rFonts w:ascii="Arial" w:hAnsi="Arial" w:cs="Arial"/>
          <w:b/>
          <w:bCs/>
          <w:sz w:val="24"/>
          <w:szCs w:val="24"/>
        </w:rPr>
        <w:t xml:space="preserve"> </w:t>
      </w:r>
      <w:r w:rsidR="005D3F1A" w:rsidRPr="003B3752">
        <w:rPr>
          <w:rFonts w:ascii="Arial" w:hAnsi="Arial" w:cs="Arial"/>
          <w:b/>
          <w:bCs/>
          <w:sz w:val="24"/>
          <w:szCs w:val="24"/>
        </w:rPr>
        <w:t>reference signals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59FAA554" w14:textId="5C8036E0" w:rsidR="00AD372F" w:rsidRDefault="00AD372F" w:rsidP="00AD372F">
      <w:bookmarkStart w:id="1" w:name="_Hlk510705081"/>
      <w:r>
        <w:t>As part of the WID [</w:t>
      </w:r>
      <w:r w:rsidRPr="00B71881">
        <w:t>1</w:t>
      </w:r>
      <w:r>
        <w:t>], RAN1 has the following objective related to reference signals for NR positioning:</w:t>
      </w:r>
    </w:p>
    <w:p w14:paraId="282176B6" w14:textId="77777777" w:rsidR="00AD372F" w:rsidRPr="00057F88" w:rsidRDefault="00AD372F" w:rsidP="00AD372F">
      <w:pPr>
        <w:pStyle w:val="3GPPAgreements"/>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26D3FABC" w14:textId="77777777" w:rsidR="00AD372F" w:rsidRPr="00057F88" w:rsidRDefault="00AD372F" w:rsidP="00AD372F">
      <w:pPr>
        <w:pStyle w:val="3GPPAgreements"/>
        <w:numPr>
          <w:ilvl w:val="1"/>
          <w:numId w:val="18"/>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2D46D73D" w14:textId="77777777" w:rsidR="00AD372F" w:rsidRDefault="00AD372F" w:rsidP="00AD372F">
      <w:pPr>
        <w:pStyle w:val="3GPPAgreements"/>
        <w:numPr>
          <w:ilvl w:val="1"/>
          <w:numId w:val="18"/>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11BC09F1" w14:textId="77777777" w:rsidR="00AD372F" w:rsidRPr="00057F88" w:rsidRDefault="00AD372F" w:rsidP="00AD372F">
      <w:pPr>
        <w:pStyle w:val="3GPPAgreements"/>
        <w:numPr>
          <w:ilvl w:val="1"/>
          <w:numId w:val="18"/>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75D620AA" w14:textId="77777777" w:rsidR="00AD372F" w:rsidRPr="00CB2B19" w:rsidRDefault="00AD372F" w:rsidP="00AD372F">
      <w:pPr>
        <w:pStyle w:val="3GPPAgreements"/>
        <w:numPr>
          <w:ilvl w:val="1"/>
          <w:numId w:val="18"/>
        </w:numPr>
        <w:rPr>
          <w:sz w:val="20"/>
        </w:rPr>
      </w:pPr>
      <w:r w:rsidRPr="00CB2B19">
        <w:rPr>
          <w:sz w:val="20"/>
        </w:rPr>
        <w:t>Define UL SRS with possible enhancements for positioning which is applicable at least for RTT, UL-TDOA, UL-AoA</w:t>
      </w:r>
    </w:p>
    <w:p w14:paraId="2676BFD9" w14:textId="41D045A6" w:rsidR="00AD372F" w:rsidRDefault="00AD372F" w:rsidP="00A64A6E">
      <w:r>
        <w:t>This contribution presents Nokia’s view on the</w:t>
      </w:r>
      <w:r w:rsidR="00D05105">
        <w:t xml:space="preserve"> </w:t>
      </w:r>
      <w:r w:rsidR="00407ACD">
        <w:t>uplink</w:t>
      </w:r>
      <w:r>
        <w:t xml:space="preserve"> reference signal design for NR positioning. </w:t>
      </w:r>
      <w:r w:rsidR="00D05105">
        <w:t xml:space="preserve">For Nokia’s view on the </w:t>
      </w:r>
      <w:r w:rsidR="00407ACD">
        <w:t>downlink</w:t>
      </w:r>
      <w:r w:rsidR="00D05105">
        <w:t xml:space="preserve"> reference signal design for NR positioning see [2]. In addition, s</w:t>
      </w:r>
      <w:r>
        <w:t>ee our companion contributions [</w:t>
      </w:r>
      <w:r w:rsidR="00D05105">
        <w:t>3</w:t>
      </w:r>
      <w:r>
        <w:t>] and [</w:t>
      </w:r>
      <w:r w:rsidR="00D05105">
        <w:t>4</w:t>
      </w:r>
      <w:r>
        <w:t xml:space="preserve">] for our views on UE/gNB measurements and physical layer procedures for NR positioning respectively. </w:t>
      </w:r>
    </w:p>
    <w:p w14:paraId="55F6C1C3" w14:textId="5C8F022C" w:rsidR="00EE1C31" w:rsidRPr="007A442B" w:rsidRDefault="007820D0" w:rsidP="007A442B">
      <w:pPr>
        <w:pStyle w:val="Heading1"/>
        <w:rPr>
          <w:lang w:val="en-US"/>
        </w:rPr>
      </w:pPr>
      <w:r>
        <w:t>Discussion</w:t>
      </w:r>
      <w:bookmarkStart w:id="2" w:name="_Hlk4508044"/>
      <w:bookmarkEnd w:id="1"/>
    </w:p>
    <w:p w14:paraId="1A4F2230" w14:textId="40DA7494" w:rsidR="00012C5C" w:rsidRDefault="00012C5C" w:rsidP="00012C5C">
      <w:pPr>
        <w:rPr>
          <w:lang w:val="en-US"/>
        </w:rPr>
      </w:pPr>
      <w:r w:rsidRPr="5B73DA29">
        <w:rPr>
          <w:lang w:val="en-US"/>
        </w:rPr>
        <w:t>For UL-PRS, Rel-15 SRS design is under review as baseline. First</w:t>
      </w:r>
      <w:r w:rsidR="000A584E">
        <w:rPr>
          <w:lang w:val="en-US"/>
        </w:rPr>
        <w:t>,</w:t>
      </w:r>
      <w:r w:rsidRPr="5B73DA29">
        <w:rPr>
          <w:lang w:val="en-US"/>
        </w:rPr>
        <w:t xml:space="preserve"> RAN1 is studying its reference signal RE pattern and resource allocation. In this contribution, we discuss Rel-15 SRS issues rising in the previous discussions and possible enhancement for the UL-PRS purpose. During RAN1#96-bis [6], the following discussion points were discussed about SRS configuration for NR </w:t>
      </w:r>
      <w:proofErr w:type="gramStart"/>
      <w:r w:rsidRPr="5B73DA29">
        <w:rPr>
          <w:lang w:val="en-US"/>
        </w:rPr>
        <w:t>positioning :</w:t>
      </w:r>
      <w:proofErr w:type="gramEnd"/>
    </w:p>
    <w:p w14:paraId="68DF3C37" w14:textId="77777777" w:rsidR="00012C5C" w:rsidRPr="00852B2B" w:rsidRDefault="00012C5C" w:rsidP="00012C5C">
      <w:pPr>
        <w:pStyle w:val="ListParagraph"/>
        <w:numPr>
          <w:ilvl w:val="0"/>
          <w:numId w:val="24"/>
        </w:numPr>
        <w:rPr>
          <w:sz w:val="20"/>
          <w:szCs w:val="20"/>
          <w:lang w:val="en-US"/>
        </w:rPr>
      </w:pPr>
      <w:r w:rsidRPr="00852B2B">
        <w:rPr>
          <w:sz w:val="20"/>
          <w:szCs w:val="20"/>
          <w:lang w:val="en-US"/>
        </w:rPr>
        <w:t>SRS Comb-N extension adding Comb-1, Comb-N&gt;4</w:t>
      </w:r>
    </w:p>
    <w:p w14:paraId="5715ED56" w14:textId="77777777" w:rsidR="00012C5C" w:rsidRPr="00852B2B" w:rsidRDefault="00012C5C" w:rsidP="00012C5C">
      <w:pPr>
        <w:pStyle w:val="ListParagraph"/>
        <w:numPr>
          <w:ilvl w:val="0"/>
          <w:numId w:val="24"/>
        </w:numPr>
        <w:rPr>
          <w:sz w:val="20"/>
          <w:szCs w:val="20"/>
          <w:lang w:val="en-US"/>
        </w:rPr>
      </w:pPr>
      <w:r w:rsidRPr="00852B2B">
        <w:rPr>
          <w:sz w:val="20"/>
          <w:szCs w:val="20"/>
          <w:lang w:val="en-US"/>
        </w:rPr>
        <w:t>Number of SRS symbol extension from 6-symbols to longer than 6-symbols.</w:t>
      </w:r>
    </w:p>
    <w:p w14:paraId="7F3ED088" w14:textId="77777777" w:rsidR="00012C5C" w:rsidRPr="00852B2B" w:rsidRDefault="00012C5C" w:rsidP="00012C5C">
      <w:pPr>
        <w:pStyle w:val="ListParagraph"/>
        <w:numPr>
          <w:ilvl w:val="0"/>
          <w:numId w:val="24"/>
        </w:numPr>
        <w:rPr>
          <w:sz w:val="20"/>
          <w:szCs w:val="20"/>
          <w:lang w:val="en-US"/>
        </w:rPr>
      </w:pPr>
      <w:r w:rsidRPr="00852B2B">
        <w:rPr>
          <w:sz w:val="20"/>
          <w:szCs w:val="20"/>
          <w:lang w:val="en-US"/>
        </w:rPr>
        <w:t>SRS resource configuration</w:t>
      </w:r>
      <w:r>
        <w:rPr>
          <w:sz w:val="20"/>
          <w:szCs w:val="20"/>
          <w:lang w:val="en-US"/>
        </w:rPr>
        <w:t xml:space="preserve"> and spatial relation to possible new SRS RE allocations</w:t>
      </w:r>
    </w:p>
    <w:p w14:paraId="27D2FEDF" w14:textId="77777777" w:rsidR="00012C5C" w:rsidRPr="00852B2B" w:rsidRDefault="00012C5C" w:rsidP="00012C5C">
      <w:pPr>
        <w:pStyle w:val="ListParagraph"/>
        <w:numPr>
          <w:ilvl w:val="0"/>
          <w:numId w:val="24"/>
        </w:numPr>
        <w:rPr>
          <w:sz w:val="20"/>
          <w:szCs w:val="20"/>
          <w:lang w:val="en-US"/>
        </w:rPr>
      </w:pPr>
      <w:r w:rsidRPr="00852B2B">
        <w:rPr>
          <w:sz w:val="20"/>
          <w:szCs w:val="20"/>
          <w:lang w:val="en-US"/>
        </w:rPr>
        <w:t>Number of SRS sequences</w:t>
      </w:r>
      <w:r>
        <w:rPr>
          <w:sz w:val="20"/>
          <w:szCs w:val="20"/>
          <w:lang w:val="en-US"/>
        </w:rPr>
        <w:t>-IDs</w:t>
      </w:r>
    </w:p>
    <w:p w14:paraId="64888873" w14:textId="77777777" w:rsidR="00012C5C" w:rsidRPr="00852B2B" w:rsidRDefault="00012C5C" w:rsidP="00012C5C">
      <w:pPr>
        <w:pStyle w:val="ListParagraph"/>
        <w:numPr>
          <w:ilvl w:val="0"/>
          <w:numId w:val="24"/>
        </w:numPr>
        <w:rPr>
          <w:sz w:val="20"/>
          <w:szCs w:val="20"/>
          <w:lang w:val="en-US"/>
        </w:rPr>
      </w:pPr>
      <w:r w:rsidRPr="00852B2B">
        <w:rPr>
          <w:sz w:val="20"/>
          <w:szCs w:val="20"/>
          <w:lang w:val="en-US"/>
        </w:rPr>
        <w:t>Timing advanced control toward neighbor cells</w:t>
      </w:r>
    </w:p>
    <w:p w14:paraId="64E7A301" w14:textId="77777777" w:rsidR="00012C5C" w:rsidRDefault="00012C5C" w:rsidP="00012C5C">
      <w:pPr>
        <w:pStyle w:val="ListParagraph"/>
        <w:numPr>
          <w:ilvl w:val="0"/>
          <w:numId w:val="24"/>
        </w:numPr>
        <w:rPr>
          <w:sz w:val="20"/>
          <w:szCs w:val="20"/>
          <w:lang w:val="en-US"/>
        </w:rPr>
      </w:pPr>
      <w:r w:rsidRPr="00852B2B">
        <w:rPr>
          <w:sz w:val="20"/>
          <w:szCs w:val="20"/>
          <w:lang w:val="en-US"/>
        </w:rPr>
        <w:t>Transmission power control toward neighbor cells.</w:t>
      </w:r>
    </w:p>
    <w:p w14:paraId="39763B5F" w14:textId="41EF1BE8" w:rsidR="00012C5C" w:rsidRDefault="00012C5C" w:rsidP="00012C5C">
      <w:pPr>
        <w:pStyle w:val="ListParagraph"/>
        <w:numPr>
          <w:ilvl w:val="0"/>
          <w:numId w:val="24"/>
        </w:numPr>
        <w:rPr>
          <w:sz w:val="20"/>
          <w:szCs w:val="20"/>
          <w:lang w:val="en-US"/>
        </w:rPr>
      </w:pPr>
      <w:r>
        <w:rPr>
          <w:sz w:val="20"/>
          <w:szCs w:val="20"/>
          <w:lang w:val="en-US"/>
        </w:rPr>
        <w:t>Define n</w:t>
      </w:r>
      <w:r w:rsidRPr="00BA06CD">
        <w:rPr>
          <w:sz w:val="20"/>
          <w:szCs w:val="20"/>
          <w:lang w:val="en-US"/>
        </w:rPr>
        <w:t>ew usage of Rel-16 SRS for positioning purpose.</w:t>
      </w:r>
    </w:p>
    <w:p w14:paraId="0D0E66D4" w14:textId="77777777" w:rsidR="000A584E" w:rsidRPr="000A584E" w:rsidRDefault="000A584E" w:rsidP="000A584E">
      <w:pPr>
        <w:pStyle w:val="ListParagraph"/>
        <w:rPr>
          <w:sz w:val="20"/>
          <w:szCs w:val="20"/>
          <w:lang w:val="en-US"/>
        </w:rPr>
      </w:pPr>
    </w:p>
    <w:p w14:paraId="63203BD1" w14:textId="08497514" w:rsidR="00012C5C" w:rsidRDefault="00012C5C" w:rsidP="00012C5C">
      <w:pPr>
        <w:rPr>
          <w:lang w:val="en-US"/>
        </w:rPr>
      </w:pPr>
      <w:r>
        <w:rPr>
          <w:lang w:val="en-US"/>
        </w:rPr>
        <w:t xml:space="preserve">We discuss one-by-one of the listed items and preference in this </w:t>
      </w:r>
      <w:r w:rsidR="00EE1C31">
        <w:rPr>
          <w:lang w:val="en-US"/>
        </w:rPr>
        <w:t>contribution</w:t>
      </w:r>
      <w:r>
        <w:rPr>
          <w:lang w:val="en-US"/>
        </w:rPr>
        <w:t>.</w:t>
      </w:r>
    </w:p>
    <w:p w14:paraId="66A3B297" w14:textId="77777777" w:rsidR="00012C5C" w:rsidRPr="00EC6CE6" w:rsidRDefault="00012C5C" w:rsidP="00012C5C">
      <w:pPr>
        <w:rPr>
          <w:b/>
          <w:i/>
          <w:sz w:val="24"/>
          <w:szCs w:val="24"/>
          <w:u w:val="single"/>
          <w:lang w:val="en-US"/>
        </w:rPr>
      </w:pPr>
      <w:r>
        <w:rPr>
          <w:b/>
          <w:i/>
          <w:sz w:val="24"/>
          <w:szCs w:val="24"/>
          <w:u w:val="single"/>
          <w:lang w:val="en-US"/>
        </w:rPr>
        <w:t xml:space="preserve">Number of SRS symbol and </w:t>
      </w:r>
      <w:r w:rsidRPr="00EC6CE6">
        <w:rPr>
          <w:b/>
          <w:i/>
          <w:sz w:val="24"/>
          <w:szCs w:val="24"/>
          <w:u w:val="single"/>
          <w:lang w:val="en-US"/>
        </w:rPr>
        <w:t>Comb-N structure</w:t>
      </w:r>
    </w:p>
    <w:p w14:paraId="7D3F4DFE" w14:textId="226E5F85" w:rsidR="00012C5C" w:rsidRDefault="00012C5C" w:rsidP="00012C5C">
      <w:pPr>
        <w:rPr>
          <w:lang w:val="en-US"/>
        </w:rPr>
      </w:pPr>
      <w:r>
        <w:rPr>
          <w:lang w:val="en-US"/>
        </w:rPr>
        <w:t>The current Rel-15 SRS support</w:t>
      </w:r>
      <w:r w:rsidR="000A584E">
        <w:rPr>
          <w:lang w:val="en-US"/>
        </w:rPr>
        <w:t>s</w:t>
      </w:r>
      <w:r>
        <w:rPr>
          <w:lang w:val="en-US"/>
        </w:rPr>
        <w:t xml:space="preserve"> comb-2 and comb-4, a question is whether extending the comb structures to comb-N &gt; 4. In addition, comb-1 support has been discussed for long </w:t>
      </w:r>
      <w:proofErr w:type="spellStart"/>
      <w:r>
        <w:rPr>
          <w:lang w:val="en-US"/>
        </w:rPr>
        <w:t>ToA</w:t>
      </w:r>
      <w:proofErr w:type="spellEnd"/>
      <w:r>
        <w:rPr>
          <w:lang w:val="en-US"/>
        </w:rPr>
        <w:t xml:space="preserve"> measurement. Regarding SRS comb structure, RAN1-96bis has agreed below. The comb structure extension is related with the number of SRS symbols. Since a stagger structure is considered for </w:t>
      </w:r>
      <w:proofErr w:type="spellStart"/>
      <w:r>
        <w:rPr>
          <w:lang w:val="en-US"/>
        </w:rPr>
        <w:t>ToA</w:t>
      </w:r>
      <w:proofErr w:type="spellEnd"/>
      <w:r>
        <w:rPr>
          <w:lang w:val="en-US"/>
        </w:rPr>
        <w:t xml:space="preserve"> estimation for a full channel in a wide band, if N &gt;5 is adopted, it is desirable to extend the number of SRS symbol longer than 4. Regarding SRS symbols, RAN1-96bis has agreed below.</w:t>
      </w:r>
    </w:p>
    <w:p w14:paraId="00A001EA" w14:textId="77777777" w:rsidR="00012C5C" w:rsidRPr="00F06E10" w:rsidRDefault="00012C5C" w:rsidP="00012C5C">
      <w:pPr>
        <w:rPr>
          <w:i/>
        </w:rPr>
      </w:pPr>
      <w:r>
        <w:rPr>
          <w:i/>
          <w:highlight w:val="green"/>
        </w:rPr>
        <w:t xml:space="preserve">RAN1-96bis </w:t>
      </w:r>
      <w:proofErr w:type="gramStart"/>
      <w:r w:rsidRPr="00F06E10">
        <w:rPr>
          <w:i/>
          <w:highlight w:val="green"/>
        </w:rPr>
        <w:t>Agreement</w:t>
      </w:r>
      <w:r>
        <w:rPr>
          <w:i/>
          <w:highlight w:val="green"/>
        </w:rPr>
        <w:t xml:space="preserve"> </w:t>
      </w:r>
      <w:r w:rsidRPr="00F06E10">
        <w:rPr>
          <w:i/>
          <w:highlight w:val="green"/>
        </w:rPr>
        <w:t>:</w:t>
      </w:r>
      <w:proofErr w:type="gramEnd"/>
    </w:p>
    <w:p w14:paraId="15760C35" w14:textId="77777777" w:rsidR="00012C5C" w:rsidRPr="00F06E10" w:rsidRDefault="00012C5C" w:rsidP="00012C5C">
      <w:pPr>
        <w:rPr>
          <w:i/>
        </w:rPr>
      </w:pPr>
      <w:r w:rsidRPr="00F06E10">
        <w:rPr>
          <w:bCs/>
          <w:i/>
          <w:lang w:val="en-US"/>
        </w:rPr>
        <w:t>For positioning, regarding the number of SRS symbols per resource, decide by RAN1#97 whether to</w:t>
      </w:r>
      <w:r w:rsidRPr="00F06E10">
        <w:rPr>
          <w:i/>
        </w:rPr>
        <w:t xml:space="preserve"> increase the set of allowable number of SRS symbols per resource compared to the NR Rel-15 allowable set {1,2,4}. </w:t>
      </w:r>
    </w:p>
    <w:p w14:paraId="4DE905B2" w14:textId="02855FE7" w:rsidR="00012C5C" w:rsidRDefault="00012C5C" w:rsidP="007A442B">
      <w:pPr>
        <w:overflowPunct/>
        <w:autoSpaceDE/>
        <w:autoSpaceDN/>
        <w:adjustRightInd/>
        <w:spacing w:after="0"/>
        <w:textAlignment w:val="auto"/>
        <w:rPr>
          <w:lang w:val="en-US"/>
        </w:rPr>
      </w:pPr>
      <w:r w:rsidRPr="00F06E10">
        <w:rPr>
          <w:i/>
        </w:rPr>
        <w:t>If it is not decided to increase the number of SRS symbols per resource by RAN1#97, increasing the set of allowable number of SRS symbols per resource compared to the NR Rel-15 allowable set {1,2,4} will not be considered further after RAN1#97.</w:t>
      </w:r>
    </w:p>
    <w:p w14:paraId="7F8C6A3B" w14:textId="77777777" w:rsidR="00012C5C" w:rsidRDefault="00012C5C" w:rsidP="00012C5C">
      <w:pPr>
        <w:jc w:val="center"/>
        <w:rPr>
          <w:lang w:val="en-US"/>
        </w:rPr>
      </w:pPr>
      <w:r>
        <w:object w:dxaOrig="7211" w:dyaOrig="1891" w14:anchorId="532C2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94.5pt" o:ole="">
            <v:imagedata r:id="rId13" o:title=""/>
          </v:shape>
          <o:OLEObject Type="Embed" ProgID="Visio.Drawing.15" ShapeID="_x0000_i1025" DrawAspect="Content" ObjectID="_1618391821" r:id="rId14"/>
        </w:object>
      </w:r>
    </w:p>
    <w:p w14:paraId="48D46134" w14:textId="77777777" w:rsidR="00012C5C" w:rsidRDefault="00012C5C" w:rsidP="00012C5C">
      <w:pPr>
        <w:jc w:val="center"/>
        <w:rPr>
          <w:lang w:val="en-US"/>
        </w:rPr>
      </w:pPr>
      <w:r>
        <w:object w:dxaOrig="7211" w:dyaOrig="1891" w14:anchorId="60E83FBD">
          <v:shape id="_x0000_i1026" type="#_x0000_t75" style="width:360.75pt;height:94.5pt" o:ole="">
            <v:imagedata r:id="rId15" o:title=""/>
          </v:shape>
          <o:OLEObject Type="Embed" ProgID="Visio.Drawing.15" ShapeID="_x0000_i1026" DrawAspect="Content" ObjectID="_1618391822" r:id="rId16"/>
        </w:object>
      </w:r>
    </w:p>
    <w:p w14:paraId="5C210BCF" w14:textId="3677B9B9" w:rsidR="00012C5C" w:rsidRDefault="00012C5C" w:rsidP="007A442B">
      <w:pPr>
        <w:jc w:val="center"/>
      </w:pPr>
      <w:r w:rsidRPr="00C63848">
        <w:rPr>
          <w:b/>
          <w:lang w:val="en-US"/>
        </w:rPr>
        <w:t xml:space="preserve">Figure </w:t>
      </w:r>
      <w:r w:rsidR="000A584E">
        <w:rPr>
          <w:b/>
          <w:lang w:val="en-US"/>
        </w:rPr>
        <w:t>1</w:t>
      </w:r>
      <w:r w:rsidRPr="00C63848">
        <w:rPr>
          <w:b/>
          <w:lang w:val="en-US"/>
        </w:rPr>
        <w:t>:</w:t>
      </w:r>
      <w:r>
        <w:rPr>
          <w:lang w:val="en-US"/>
        </w:rPr>
        <w:t xml:space="preserve"> comb-type and bar-type (repeated symbols) structures support of UL-PRS with comb RE allocation</w:t>
      </w:r>
    </w:p>
    <w:p w14:paraId="7ACEF843" w14:textId="2A1CC187" w:rsidR="00012C5C" w:rsidRPr="00E65915" w:rsidRDefault="00012C5C" w:rsidP="00012C5C">
      <w:pPr>
        <w:spacing w:line="259" w:lineRule="auto"/>
        <w:jc w:val="center"/>
      </w:pPr>
      <w:r w:rsidRPr="007A442B">
        <w:rPr>
          <w:b/>
        </w:rPr>
        <w:t>Table 1</w:t>
      </w:r>
      <w:r>
        <w:t xml:space="preserve">: Possible estimation </w:t>
      </w:r>
      <w:proofErr w:type="spellStart"/>
      <w:r>
        <w:t>ToA</w:t>
      </w:r>
      <w:proofErr w:type="spellEnd"/>
      <w:r>
        <w:t xml:space="preserve"> range and estimation location range (</w:t>
      </w:r>
      <w:proofErr w:type="spellStart"/>
      <w:r>
        <w:t>LoS</w:t>
      </w:r>
      <w:proofErr w:type="spellEnd"/>
      <w:r>
        <w:t xml:space="preserve"> assumption)</w:t>
      </w:r>
    </w:p>
    <w:tbl>
      <w:tblPr>
        <w:tblW w:w="4487" w:type="pct"/>
        <w:jc w:val="center"/>
        <w:tblLook w:val="04A0" w:firstRow="1" w:lastRow="0" w:firstColumn="1" w:lastColumn="0" w:noHBand="0" w:noVBand="1"/>
      </w:tblPr>
      <w:tblGrid>
        <w:gridCol w:w="1133"/>
        <w:gridCol w:w="964"/>
        <w:gridCol w:w="1300"/>
        <w:gridCol w:w="1134"/>
        <w:gridCol w:w="1419"/>
        <w:gridCol w:w="1417"/>
        <w:gridCol w:w="1274"/>
      </w:tblGrid>
      <w:tr w:rsidR="00012C5C" w:rsidRPr="00E65915" w14:paraId="77733802" w14:textId="77777777" w:rsidTr="00BD1E8D">
        <w:trPr>
          <w:trHeight w:val="1160"/>
          <w:jc w:val="center"/>
        </w:trPr>
        <w:tc>
          <w:tcPr>
            <w:tcW w:w="656" w:type="pc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1170A0A" w14:textId="77777777" w:rsidR="00012C5C" w:rsidRPr="00E65915" w:rsidRDefault="00012C5C" w:rsidP="00BD1E8D">
            <w:pPr>
              <w:overflowPunct/>
              <w:autoSpaceDE/>
              <w:autoSpaceDN/>
              <w:adjustRightInd/>
              <w:spacing w:after="0"/>
              <w:jc w:val="center"/>
              <w:textAlignment w:val="auto"/>
              <w:rPr>
                <w:rFonts w:eastAsia="Times New Roman"/>
                <w:color w:val="000000"/>
                <w:lang w:val="en-US" w:eastAsia="ko-KR"/>
              </w:rPr>
            </w:pPr>
            <w:r w:rsidRPr="00E65915">
              <w:rPr>
                <w:rFonts w:eastAsia="Times New Roman"/>
                <w:color w:val="000000"/>
                <w:lang w:val="en-US" w:eastAsia="ko-KR"/>
              </w:rPr>
              <w:t>SCS [</w:t>
            </w:r>
            <w:proofErr w:type="spellStart"/>
            <w:r w:rsidRPr="00E65915">
              <w:rPr>
                <w:rFonts w:eastAsia="Times New Roman"/>
                <w:color w:val="000000"/>
                <w:lang w:val="en-US" w:eastAsia="ko-KR"/>
              </w:rPr>
              <w:t>KHz</w:t>
            </w:r>
            <w:proofErr w:type="spellEnd"/>
            <w:r w:rsidRPr="00E65915">
              <w:rPr>
                <w:rFonts w:eastAsia="Times New Roman"/>
                <w:color w:val="000000"/>
                <w:lang w:val="en-US" w:eastAsia="ko-KR"/>
              </w:rPr>
              <w:t>]</w:t>
            </w:r>
          </w:p>
        </w:tc>
        <w:tc>
          <w:tcPr>
            <w:tcW w:w="558" w:type="pct"/>
            <w:tcBorders>
              <w:top w:val="single" w:sz="4" w:space="0" w:color="auto"/>
              <w:left w:val="nil"/>
              <w:bottom w:val="single" w:sz="4" w:space="0" w:color="auto"/>
              <w:right w:val="single" w:sz="4" w:space="0" w:color="auto"/>
            </w:tcBorders>
            <w:shd w:val="clear" w:color="000000" w:fill="9BC2E6"/>
            <w:vAlign w:val="center"/>
            <w:hideMark/>
          </w:tcPr>
          <w:p w14:paraId="1BE90A76" w14:textId="77777777" w:rsidR="00012C5C" w:rsidRPr="00E65915" w:rsidRDefault="00012C5C" w:rsidP="00BD1E8D">
            <w:pPr>
              <w:overflowPunct/>
              <w:autoSpaceDE/>
              <w:autoSpaceDN/>
              <w:adjustRightInd/>
              <w:spacing w:after="0"/>
              <w:jc w:val="center"/>
              <w:textAlignment w:val="auto"/>
              <w:rPr>
                <w:rFonts w:eastAsia="Times New Roman"/>
                <w:color w:val="000000"/>
                <w:lang w:val="en-US" w:eastAsia="ko-KR"/>
              </w:rPr>
            </w:pPr>
            <w:r w:rsidRPr="00E65915">
              <w:rPr>
                <w:rFonts w:eastAsia="Times New Roman"/>
                <w:color w:val="000000"/>
                <w:lang w:val="en-US" w:eastAsia="ko-KR"/>
              </w:rPr>
              <w:t xml:space="preserve">OFDM symbol </w:t>
            </w:r>
            <w:r w:rsidRPr="00E65915">
              <w:rPr>
                <w:rFonts w:eastAsia="Times New Roman"/>
                <w:color w:val="000000"/>
                <w:lang w:val="en-US" w:eastAsia="ko-KR"/>
              </w:rPr>
              <w:br/>
              <w:t>duration [us]</w:t>
            </w:r>
          </w:p>
        </w:tc>
        <w:tc>
          <w:tcPr>
            <w:tcW w:w="752" w:type="pct"/>
            <w:tcBorders>
              <w:top w:val="single" w:sz="4" w:space="0" w:color="auto"/>
              <w:left w:val="nil"/>
              <w:bottom w:val="single" w:sz="4" w:space="0" w:color="auto"/>
              <w:right w:val="single" w:sz="4" w:space="0" w:color="auto"/>
            </w:tcBorders>
            <w:shd w:val="clear" w:color="000000" w:fill="E2EFDA"/>
            <w:vAlign w:val="bottom"/>
            <w:hideMark/>
          </w:tcPr>
          <w:p w14:paraId="564308D6" w14:textId="77777777" w:rsidR="00012C5C" w:rsidRPr="00E65915" w:rsidRDefault="00012C5C" w:rsidP="00BD1E8D">
            <w:pPr>
              <w:overflowPunct/>
              <w:autoSpaceDE/>
              <w:autoSpaceDN/>
              <w:adjustRightInd/>
              <w:spacing w:after="0"/>
              <w:jc w:val="center"/>
              <w:textAlignment w:val="auto"/>
              <w:rPr>
                <w:rFonts w:eastAsia="Times New Roman"/>
                <w:color w:val="000000"/>
                <w:lang w:val="en-US" w:eastAsia="ko-KR"/>
              </w:rPr>
            </w:pPr>
            <w:r w:rsidRPr="00E65915">
              <w:rPr>
                <w:rFonts w:eastAsia="Times New Roman"/>
                <w:color w:val="000000"/>
                <w:lang w:val="en-US" w:eastAsia="ko-KR"/>
              </w:rPr>
              <w:t xml:space="preserve">Estimation </w:t>
            </w:r>
            <w:proofErr w:type="spellStart"/>
            <w:r w:rsidRPr="00E65915">
              <w:rPr>
                <w:rFonts w:eastAsia="Times New Roman"/>
                <w:color w:val="000000"/>
                <w:lang w:val="en-US" w:eastAsia="ko-KR"/>
              </w:rPr>
              <w:t>ToA</w:t>
            </w:r>
            <w:proofErr w:type="spellEnd"/>
            <w:r w:rsidRPr="00E65915">
              <w:rPr>
                <w:rFonts w:eastAsia="Times New Roman"/>
                <w:color w:val="000000"/>
                <w:lang w:val="en-US" w:eastAsia="ko-KR"/>
              </w:rPr>
              <w:t xml:space="preserve"> range</w:t>
            </w:r>
            <w:r w:rsidRPr="00E65915">
              <w:rPr>
                <w:rFonts w:eastAsia="Times New Roman"/>
                <w:color w:val="000000"/>
                <w:lang w:val="en-US" w:eastAsia="ko-KR"/>
              </w:rPr>
              <w:br/>
            </w:r>
            <w:r w:rsidRPr="00852B2B">
              <w:rPr>
                <w:rFonts w:eastAsia="Times New Roman"/>
                <w:b/>
                <w:color w:val="000000"/>
                <w:lang w:val="en-US" w:eastAsia="ko-KR"/>
              </w:rPr>
              <w:t>Comb-6</w:t>
            </w:r>
            <w:r w:rsidRPr="00E65915">
              <w:rPr>
                <w:rFonts w:eastAsia="Times New Roman"/>
                <w:color w:val="000000"/>
                <w:lang w:val="en-US" w:eastAsia="ko-KR"/>
              </w:rPr>
              <w:br/>
              <w:t>[us]</w:t>
            </w:r>
          </w:p>
        </w:tc>
        <w:tc>
          <w:tcPr>
            <w:tcW w:w="656" w:type="pct"/>
            <w:tcBorders>
              <w:top w:val="single" w:sz="4" w:space="0" w:color="auto"/>
              <w:left w:val="nil"/>
              <w:bottom w:val="single" w:sz="4" w:space="0" w:color="auto"/>
              <w:right w:val="single" w:sz="4" w:space="0" w:color="auto"/>
            </w:tcBorders>
            <w:shd w:val="clear" w:color="000000" w:fill="E2EFDA"/>
            <w:vAlign w:val="center"/>
            <w:hideMark/>
          </w:tcPr>
          <w:p w14:paraId="64B6EDE1" w14:textId="77777777" w:rsidR="00012C5C" w:rsidRDefault="00012C5C" w:rsidP="00BD1E8D">
            <w:pPr>
              <w:overflowPunct/>
              <w:autoSpaceDE/>
              <w:autoSpaceDN/>
              <w:adjustRightInd/>
              <w:spacing w:after="0"/>
              <w:jc w:val="center"/>
              <w:textAlignment w:val="auto"/>
              <w:rPr>
                <w:rFonts w:eastAsia="Times New Roman"/>
                <w:b/>
                <w:bCs/>
                <w:color w:val="000000"/>
                <w:lang w:val="en-US" w:eastAsia="ko-KR"/>
              </w:rPr>
            </w:pPr>
            <w:proofErr w:type="spellStart"/>
            <w:r>
              <w:rPr>
                <w:rFonts w:eastAsia="Times New Roman"/>
                <w:b/>
                <w:bCs/>
                <w:color w:val="000000"/>
                <w:lang w:val="en-US" w:eastAsia="ko-KR"/>
              </w:rPr>
              <w:t>LoS</w:t>
            </w:r>
            <w:proofErr w:type="spellEnd"/>
          </w:p>
          <w:p w14:paraId="58D0BF68" w14:textId="77777777" w:rsidR="00012C5C" w:rsidRPr="00E65915" w:rsidRDefault="00012C5C" w:rsidP="00BD1E8D">
            <w:pPr>
              <w:overflowPunct/>
              <w:autoSpaceDE/>
              <w:autoSpaceDN/>
              <w:adjustRightInd/>
              <w:spacing w:after="0"/>
              <w:jc w:val="center"/>
              <w:textAlignment w:val="auto"/>
              <w:rPr>
                <w:rFonts w:eastAsia="Times New Roman"/>
                <w:b/>
                <w:bCs/>
                <w:color w:val="000000"/>
                <w:lang w:val="en-US" w:eastAsia="ko-KR"/>
              </w:rPr>
            </w:pPr>
            <w:r w:rsidRPr="00E65915">
              <w:rPr>
                <w:rFonts w:eastAsia="Times New Roman"/>
                <w:b/>
                <w:bCs/>
                <w:color w:val="000000"/>
                <w:lang w:val="en-US" w:eastAsia="ko-KR"/>
              </w:rPr>
              <w:t>Distance [m]</w:t>
            </w:r>
          </w:p>
        </w:tc>
        <w:tc>
          <w:tcPr>
            <w:tcW w:w="821" w:type="pct"/>
            <w:tcBorders>
              <w:top w:val="single" w:sz="4" w:space="0" w:color="auto"/>
              <w:left w:val="nil"/>
              <w:bottom w:val="single" w:sz="4" w:space="0" w:color="auto"/>
              <w:right w:val="single" w:sz="4" w:space="0" w:color="auto"/>
            </w:tcBorders>
            <w:shd w:val="clear" w:color="000000" w:fill="DDEBF7"/>
            <w:vAlign w:val="bottom"/>
            <w:hideMark/>
          </w:tcPr>
          <w:p w14:paraId="5B4BDD7C" w14:textId="77777777" w:rsidR="00012C5C" w:rsidRPr="00E65915" w:rsidRDefault="00012C5C" w:rsidP="00BD1E8D">
            <w:pPr>
              <w:overflowPunct/>
              <w:autoSpaceDE/>
              <w:autoSpaceDN/>
              <w:adjustRightInd/>
              <w:spacing w:after="0"/>
              <w:jc w:val="center"/>
              <w:textAlignment w:val="auto"/>
              <w:rPr>
                <w:rFonts w:eastAsia="Times New Roman"/>
                <w:color w:val="000000"/>
                <w:lang w:val="en-US" w:eastAsia="ko-KR"/>
              </w:rPr>
            </w:pPr>
            <w:r w:rsidRPr="00E65915">
              <w:rPr>
                <w:rFonts w:eastAsia="Times New Roman"/>
                <w:color w:val="000000"/>
                <w:lang w:val="en-US" w:eastAsia="ko-KR"/>
              </w:rPr>
              <w:t xml:space="preserve">Estimation </w:t>
            </w:r>
            <w:proofErr w:type="spellStart"/>
            <w:r w:rsidRPr="00E65915">
              <w:rPr>
                <w:rFonts w:eastAsia="Times New Roman"/>
                <w:color w:val="000000"/>
                <w:lang w:val="en-US" w:eastAsia="ko-KR"/>
              </w:rPr>
              <w:t>ToA</w:t>
            </w:r>
            <w:proofErr w:type="spellEnd"/>
            <w:r w:rsidRPr="00E65915">
              <w:rPr>
                <w:rFonts w:eastAsia="Times New Roman"/>
                <w:color w:val="000000"/>
                <w:lang w:val="en-US" w:eastAsia="ko-KR"/>
              </w:rPr>
              <w:t xml:space="preserve"> range</w:t>
            </w:r>
            <w:r w:rsidRPr="00E65915">
              <w:rPr>
                <w:rFonts w:eastAsia="Times New Roman"/>
                <w:color w:val="000000"/>
                <w:lang w:val="en-US" w:eastAsia="ko-KR"/>
              </w:rPr>
              <w:br/>
            </w:r>
            <w:r w:rsidRPr="00852B2B">
              <w:rPr>
                <w:rFonts w:eastAsia="Times New Roman"/>
                <w:b/>
                <w:color w:val="000000"/>
                <w:lang w:val="en-US" w:eastAsia="ko-KR"/>
              </w:rPr>
              <w:t>Comb-12</w:t>
            </w:r>
            <w:r w:rsidRPr="00E65915">
              <w:rPr>
                <w:rFonts w:eastAsia="Times New Roman"/>
                <w:color w:val="000000"/>
                <w:lang w:val="en-US" w:eastAsia="ko-KR"/>
              </w:rPr>
              <w:br/>
              <w:t>[us]</w:t>
            </w:r>
          </w:p>
        </w:tc>
        <w:tc>
          <w:tcPr>
            <w:tcW w:w="820" w:type="pct"/>
            <w:tcBorders>
              <w:top w:val="single" w:sz="4" w:space="0" w:color="auto"/>
              <w:left w:val="nil"/>
              <w:bottom w:val="single" w:sz="4" w:space="0" w:color="auto"/>
              <w:right w:val="single" w:sz="4" w:space="0" w:color="auto"/>
            </w:tcBorders>
            <w:shd w:val="clear" w:color="000000" w:fill="DDEBF7"/>
            <w:vAlign w:val="center"/>
            <w:hideMark/>
          </w:tcPr>
          <w:p w14:paraId="087CBCAF" w14:textId="77777777" w:rsidR="00012C5C" w:rsidRDefault="00012C5C" w:rsidP="00BD1E8D">
            <w:pPr>
              <w:overflowPunct/>
              <w:autoSpaceDE/>
              <w:autoSpaceDN/>
              <w:adjustRightInd/>
              <w:spacing w:after="0"/>
              <w:jc w:val="center"/>
              <w:textAlignment w:val="auto"/>
              <w:rPr>
                <w:rFonts w:eastAsia="Times New Roman"/>
                <w:b/>
                <w:bCs/>
                <w:color w:val="000000"/>
                <w:lang w:val="en-US" w:eastAsia="ko-KR"/>
              </w:rPr>
            </w:pPr>
            <w:proofErr w:type="spellStart"/>
            <w:r>
              <w:rPr>
                <w:rFonts w:eastAsia="Times New Roman"/>
                <w:b/>
                <w:bCs/>
                <w:color w:val="000000"/>
                <w:lang w:val="en-US" w:eastAsia="ko-KR"/>
              </w:rPr>
              <w:t>LoS</w:t>
            </w:r>
            <w:proofErr w:type="spellEnd"/>
          </w:p>
          <w:p w14:paraId="345F48DC" w14:textId="77777777" w:rsidR="00012C5C" w:rsidRPr="00E65915" w:rsidRDefault="00012C5C" w:rsidP="00BD1E8D">
            <w:pPr>
              <w:overflowPunct/>
              <w:autoSpaceDE/>
              <w:autoSpaceDN/>
              <w:adjustRightInd/>
              <w:spacing w:after="0"/>
              <w:jc w:val="center"/>
              <w:textAlignment w:val="auto"/>
              <w:rPr>
                <w:rFonts w:eastAsia="Times New Roman"/>
                <w:b/>
                <w:bCs/>
                <w:color w:val="000000"/>
                <w:lang w:val="en-US" w:eastAsia="ko-KR"/>
              </w:rPr>
            </w:pPr>
            <w:r w:rsidRPr="00E65915">
              <w:rPr>
                <w:rFonts w:eastAsia="Times New Roman"/>
                <w:b/>
                <w:bCs/>
                <w:color w:val="000000"/>
                <w:lang w:val="en-US" w:eastAsia="ko-KR"/>
              </w:rPr>
              <w:t>Distance [m]</w:t>
            </w:r>
          </w:p>
        </w:tc>
        <w:tc>
          <w:tcPr>
            <w:tcW w:w="737" w:type="pct"/>
            <w:tcBorders>
              <w:top w:val="single" w:sz="4" w:space="0" w:color="auto"/>
              <w:left w:val="nil"/>
              <w:bottom w:val="single" w:sz="4" w:space="0" w:color="auto"/>
              <w:right w:val="single" w:sz="4" w:space="0" w:color="auto"/>
            </w:tcBorders>
            <w:shd w:val="clear" w:color="000000" w:fill="ED7D31"/>
            <w:vAlign w:val="center"/>
            <w:hideMark/>
          </w:tcPr>
          <w:p w14:paraId="467AFE1B" w14:textId="77777777" w:rsidR="00012C5C" w:rsidRPr="00E65915" w:rsidRDefault="00012C5C" w:rsidP="00BD1E8D">
            <w:pPr>
              <w:overflowPunct/>
              <w:autoSpaceDE/>
              <w:autoSpaceDN/>
              <w:adjustRightInd/>
              <w:spacing w:after="0"/>
              <w:jc w:val="center"/>
              <w:textAlignment w:val="auto"/>
              <w:rPr>
                <w:rFonts w:eastAsia="Times New Roman"/>
                <w:color w:val="000000"/>
                <w:lang w:val="en-US" w:eastAsia="ko-KR"/>
              </w:rPr>
            </w:pPr>
            <w:r w:rsidRPr="00E65915">
              <w:rPr>
                <w:rFonts w:eastAsia="Times New Roman"/>
                <w:color w:val="000000"/>
                <w:lang w:val="en-US" w:eastAsia="ko-KR"/>
              </w:rPr>
              <w:t xml:space="preserve">Normal CP length </w:t>
            </w:r>
            <w:r w:rsidRPr="00E65915">
              <w:rPr>
                <w:rFonts w:eastAsia="Times New Roman"/>
                <w:color w:val="000000"/>
                <w:lang w:val="en-US" w:eastAsia="ko-KR"/>
              </w:rPr>
              <w:br/>
              <w:t>[us]</w:t>
            </w:r>
          </w:p>
        </w:tc>
      </w:tr>
      <w:tr w:rsidR="00012C5C" w:rsidRPr="00E65915" w14:paraId="2FF8249F" w14:textId="77777777" w:rsidTr="00BD1E8D">
        <w:trPr>
          <w:trHeight w:val="290"/>
          <w:jc w:val="center"/>
        </w:trPr>
        <w:tc>
          <w:tcPr>
            <w:tcW w:w="656" w:type="pct"/>
            <w:tcBorders>
              <w:top w:val="nil"/>
              <w:left w:val="single" w:sz="4" w:space="0" w:color="auto"/>
              <w:bottom w:val="single" w:sz="4" w:space="0" w:color="auto"/>
              <w:right w:val="single" w:sz="4" w:space="0" w:color="auto"/>
            </w:tcBorders>
            <w:shd w:val="clear" w:color="auto" w:fill="auto"/>
            <w:noWrap/>
            <w:vAlign w:val="bottom"/>
            <w:hideMark/>
          </w:tcPr>
          <w:p w14:paraId="1A389BA4"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240</w:t>
            </w:r>
          </w:p>
        </w:tc>
        <w:tc>
          <w:tcPr>
            <w:tcW w:w="558" w:type="pct"/>
            <w:tcBorders>
              <w:top w:val="nil"/>
              <w:left w:val="nil"/>
              <w:bottom w:val="single" w:sz="4" w:space="0" w:color="auto"/>
              <w:right w:val="single" w:sz="4" w:space="0" w:color="auto"/>
            </w:tcBorders>
            <w:shd w:val="clear" w:color="auto" w:fill="auto"/>
            <w:noWrap/>
            <w:vAlign w:val="bottom"/>
            <w:hideMark/>
          </w:tcPr>
          <w:p w14:paraId="08B7A03F"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4</w:t>
            </w:r>
            <w:r>
              <w:rPr>
                <w:rFonts w:eastAsia="Times New Roman"/>
                <w:color w:val="000000"/>
                <w:lang w:val="en-US" w:eastAsia="ko-KR"/>
              </w:rPr>
              <w:t>.</w:t>
            </w:r>
            <w:r w:rsidRPr="00E65915">
              <w:rPr>
                <w:rFonts w:eastAsia="Times New Roman"/>
                <w:color w:val="000000"/>
                <w:lang w:val="en-US" w:eastAsia="ko-KR"/>
              </w:rPr>
              <w:t>17</w:t>
            </w:r>
          </w:p>
        </w:tc>
        <w:tc>
          <w:tcPr>
            <w:tcW w:w="752" w:type="pct"/>
            <w:tcBorders>
              <w:top w:val="nil"/>
              <w:left w:val="nil"/>
              <w:bottom w:val="single" w:sz="4" w:space="0" w:color="auto"/>
              <w:right w:val="single" w:sz="4" w:space="0" w:color="auto"/>
            </w:tcBorders>
            <w:shd w:val="clear" w:color="auto" w:fill="auto"/>
            <w:noWrap/>
            <w:vAlign w:val="bottom"/>
            <w:hideMark/>
          </w:tcPr>
          <w:p w14:paraId="078B572C"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0</w:t>
            </w:r>
            <w:r>
              <w:rPr>
                <w:rFonts w:eastAsia="Times New Roman"/>
                <w:color w:val="000000"/>
                <w:lang w:val="en-US" w:eastAsia="ko-KR"/>
              </w:rPr>
              <w:t>.</w:t>
            </w:r>
            <w:r w:rsidRPr="00E65915">
              <w:rPr>
                <w:rFonts w:eastAsia="Times New Roman"/>
                <w:color w:val="000000"/>
                <w:lang w:val="en-US" w:eastAsia="ko-KR"/>
              </w:rPr>
              <w:t>70</w:t>
            </w:r>
          </w:p>
        </w:tc>
        <w:tc>
          <w:tcPr>
            <w:tcW w:w="656" w:type="pct"/>
            <w:tcBorders>
              <w:top w:val="nil"/>
              <w:left w:val="nil"/>
              <w:bottom w:val="single" w:sz="4" w:space="0" w:color="auto"/>
              <w:right w:val="single" w:sz="4" w:space="0" w:color="auto"/>
            </w:tcBorders>
            <w:shd w:val="clear" w:color="auto" w:fill="auto"/>
            <w:noWrap/>
            <w:vAlign w:val="bottom"/>
            <w:hideMark/>
          </w:tcPr>
          <w:p w14:paraId="079BF500"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208</w:t>
            </w:r>
            <w:r>
              <w:rPr>
                <w:rFonts w:eastAsia="Times New Roman"/>
                <w:b/>
                <w:bCs/>
                <w:color w:val="000000"/>
                <w:lang w:val="en-US" w:eastAsia="ko-KR"/>
              </w:rPr>
              <w:t>.</w:t>
            </w:r>
            <w:r w:rsidRPr="00E65915">
              <w:rPr>
                <w:rFonts w:eastAsia="Times New Roman"/>
                <w:b/>
                <w:bCs/>
                <w:color w:val="000000"/>
                <w:lang w:val="en-US" w:eastAsia="ko-KR"/>
              </w:rPr>
              <w:t>5</w:t>
            </w:r>
          </w:p>
        </w:tc>
        <w:tc>
          <w:tcPr>
            <w:tcW w:w="821" w:type="pct"/>
            <w:tcBorders>
              <w:top w:val="nil"/>
              <w:left w:val="nil"/>
              <w:bottom w:val="single" w:sz="4" w:space="0" w:color="auto"/>
              <w:right w:val="single" w:sz="4" w:space="0" w:color="auto"/>
            </w:tcBorders>
            <w:shd w:val="clear" w:color="auto" w:fill="auto"/>
            <w:noWrap/>
            <w:vAlign w:val="bottom"/>
            <w:hideMark/>
          </w:tcPr>
          <w:p w14:paraId="0512B574"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0</w:t>
            </w:r>
            <w:r>
              <w:rPr>
                <w:rFonts w:eastAsia="Times New Roman"/>
                <w:color w:val="000000"/>
                <w:lang w:val="en-US" w:eastAsia="ko-KR"/>
              </w:rPr>
              <w:t>.</w:t>
            </w:r>
            <w:r w:rsidRPr="00E65915">
              <w:rPr>
                <w:rFonts w:eastAsia="Times New Roman"/>
                <w:color w:val="000000"/>
                <w:lang w:val="en-US" w:eastAsia="ko-KR"/>
              </w:rPr>
              <w:t>35</w:t>
            </w:r>
          </w:p>
        </w:tc>
        <w:tc>
          <w:tcPr>
            <w:tcW w:w="820" w:type="pct"/>
            <w:tcBorders>
              <w:top w:val="nil"/>
              <w:left w:val="nil"/>
              <w:bottom w:val="single" w:sz="4" w:space="0" w:color="auto"/>
              <w:right w:val="single" w:sz="4" w:space="0" w:color="auto"/>
            </w:tcBorders>
            <w:shd w:val="clear" w:color="auto" w:fill="auto"/>
            <w:noWrap/>
            <w:vAlign w:val="bottom"/>
            <w:hideMark/>
          </w:tcPr>
          <w:p w14:paraId="39C7DC50"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104</w:t>
            </w:r>
            <w:r>
              <w:rPr>
                <w:rFonts w:eastAsia="Times New Roman"/>
                <w:b/>
                <w:bCs/>
                <w:color w:val="000000"/>
                <w:lang w:val="en-US" w:eastAsia="ko-KR"/>
              </w:rPr>
              <w:t>.</w:t>
            </w:r>
            <w:r w:rsidRPr="00E65915">
              <w:rPr>
                <w:rFonts w:eastAsia="Times New Roman"/>
                <w:b/>
                <w:bCs/>
                <w:color w:val="000000"/>
                <w:lang w:val="en-US" w:eastAsia="ko-KR"/>
              </w:rPr>
              <w:t>25</w:t>
            </w:r>
          </w:p>
        </w:tc>
        <w:tc>
          <w:tcPr>
            <w:tcW w:w="737" w:type="pct"/>
            <w:tcBorders>
              <w:top w:val="nil"/>
              <w:left w:val="nil"/>
              <w:bottom w:val="single" w:sz="4" w:space="0" w:color="auto"/>
              <w:right w:val="single" w:sz="4" w:space="0" w:color="auto"/>
            </w:tcBorders>
            <w:shd w:val="clear" w:color="auto" w:fill="auto"/>
            <w:noWrap/>
            <w:vAlign w:val="bottom"/>
            <w:hideMark/>
          </w:tcPr>
          <w:p w14:paraId="435BB33E"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0</w:t>
            </w:r>
            <w:r>
              <w:rPr>
                <w:rFonts w:eastAsia="Times New Roman"/>
                <w:color w:val="000000"/>
                <w:lang w:val="en-US" w:eastAsia="ko-KR"/>
              </w:rPr>
              <w:t>.</w:t>
            </w:r>
            <w:r w:rsidRPr="00E65915">
              <w:rPr>
                <w:rFonts w:eastAsia="Times New Roman"/>
                <w:color w:val="000000"/>
                <w:lang w:val="en-US" w:eastAsia="ko-KR"/>
              </w:rPr>
              <w:t>288</w:t>
            </w:r>
          </w:p>
        </w:tc>
      </w:tr>
      <w:tr w:rsidR="00012C5C" w:rsidRPr="00E65915" w14:paraId="4360B81C" w14:textId="77777777" w:rsidTr="00BD1E8D">
        <w:trPr>
          <w:trHeight w:val="290"/>
          <w:jc w:val="center"/>
        </w:trPr>
        <w:tc>
          <w:tcPr>
            <w:tcW w:w="656" w:type="pct"/>
            <w:tcBorders>
              <w:top w:val="nil"/>
              <w:left w:val="single" w:sz="4" w:space="0" w:color="auto"/>
              <w:bottom w:val="single" w:sz="4" w:space="0" w:color="auto"/>
              <w:right w:val="single" w:sz="4" w:space="0" w:color="auto"/>
            </w:tcBorders>
            <w:shd w:val="clear" w:color="auto" w:fill="auto"/>
            <w:noWrap/>
            <w:vAlign w:val="bottom"/>
            <w:hideMark/>
          </w:tcPr>
          <w:p w14:paraId="5DA1AC18"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120</w:t>
            </w:r>
          </w:p>
        </w:tc>
        <w:tc>
          <w:tcPr>
            <w:tcW w:w="558" w:type="pct"/>
            <w:tcBorders>
              <w:top w:val="nil"/>
              <w:left w:val="nil"/>
              <w:bottom w:val="single" w:sz="4" w:space="0" w:color="auto"/>
              <w:right w:val="single" w:sz="4" w:space="0" w:color="auto"/>
            </w:tcBorders>
            <w:shd w:val="clear" w:color="auto" w:fill="auto"/>
            <w:noWrap/>
            <w:vAlign w:val="bottom"/>
            <w:hideMark/>
          </w:tcPr>
          <w:p w14:paraId="1E5407BC"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8</w:t>
            </w:r>
            <w:r>
              <w:rPr>
                <w:rFonts w:eastAsia="Times New Roman"/>
                <w:color w:val="000000"/>
                <w:lang w:val="en-US" w:eastAsia="ko-KR"/>
              </w:rPr>
              <w:t>.</w:t>
            </w:r>
            <w:r w:rsidRPr="00E65915">
              <w:rPr>
                <w:rFonts w:eastAsia="Times New Roman"/>
                <w:color w:val="000000"/>
                <w:lang w:val="en-US" w:eastAsia="ko-KR"/>
              </w:rPr>
              <w:t>33</w:t>
            </w:r>
          </w:p>
        </w:tc>
        <w:tc>
          <w:tcPr>
            <w:tcW w:w="752" w:type="pct"/>
            <w:tcBorders>
              <w:top w:val="nil"/>
              <w:left w:val="nil"/>
              <w:bottom w:val="single" w:sz="4" w:space="0" w:color="auto"/>
              <w:right w:val="single" w:sz="4" w:space="0" w:color="auto"/>
            </w:tcBorders>
            <w:shd w:val="clear" w:color="auto" w:fill="auto"/>
            <w:noWrap/>
            <w:vAlign w:val="bottom"/>
            <w:hideMark/>
          </w:tcPr>
          <w:p w14:paraId="18B98A2C"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1</w:t>
            </w:r>
            <w:r>
              <w:rPr>
                <w:rFonts w:eastAsia="Times New Roman"/>
                <w:color w:val="000000"/>
                <w:lang w:val="en-US" w:eastAsia="ko-KR"/>
              </w:rPr>
              <w:t>.</w:t>
            </w:r>
            <w:r w:rsidRPr="00E65915">
              <w:rPr>
                <w:rFonts w:eastAsia="Times New Roman"/>
                <w:color w:val="000000"/>
                <w:lang w:val="en-US" w:eastAsia="ko-KR"/>
              </w:rPr>
              <w:t>39</w:t>
            </w:r>
          </w:p>
        </w:tc>
        <w:tc>
          <w:tcPr>
            <w:tcW w:w="656" w:type="pct"/>
            <w:tcBorders>
              <w:top w:val="nil"/>
              <w:left w:val="nil"/>
              <w:bottom w:val="single" w:sz="4" w:space="0" w:color="auto"/>
              <w:right w:val="single" w:sz="4" w:space="0" w:color="auto"/>
            </w:tcBorders>
            <w:shd w:val="clear" w:color="auto" w:fill="auto"/>
            <w:noWrap/>
            <w:vAlign w:val="bottom"/>
            <w:hideMark/>
          </w:tcPr>
          <w:p w14:paraId="20F6696B"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416</w:t>
            </w:r>
            <w:r>
              <w:rPr>
                <w:rFonts w:eastAsia="Times New Roman"/>
                <w:b/>
                <w:bCs/>
                <w:color w:val="000000"/>
                <w:lang w:val="en-US" w:eastAsia="ko-KR"/>
              </w:rPr>
              <w:t>.</w:t>
            </w:r>
            <w:r w:rsidRPr="00E65915">
              <w:rPr>
                <w:rFonts w:eastAsia="Times New Roman"/>
                <w:b/>
                <w:bCs/>
                <w:color w:val="000000"/>
                <w:lang w:val="en-US" w:eastAsia="ko-KR"/>
              </w:rPr>
              <w:t>5</w:t>
            </w:r>
          </w:p>
        </w:tc>
        <w:tc>
          <w:tcPr>
            <w:tcW w:w="821" w:type="pct"/>
            <w:tcBorders>
              <w:top w:val="nil"/>
              <w:left w:val="nil"/>
              <w:bottom w:val="single" w:sz="4" w:space="0" w:color="auto"/>
              <w:right w:val="single" w:sz="4" w:space="0" w:color="auto"/>
            </w:tcBorders>
            <w:shd w:val="clear" w:color="auto" w:fill="auto"/>
            <w:noWrap/>
            <w:vAlign w:val="bottom"/>
            <w:hideMark/>
          </w:tcPr>
          <w:p w14:paraId="2836E086"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0</w:t>
            </w:r>
            <w:r>
              <w:rPr>
                <w:rFonts w:eastAsia="Times New Roman"/>
                <w:color w:val="000000"/>
                <w:lang w:val="en-US" w:eastAsia="ko-KR"/>
              </w:rPr>
              <w:t>.</w:t>
            </w:r>
            <w:r w:rsidRPr="00E65915">
              <w:rPr>
                <w:rFonts w:eastAsia="Times New Roman"/>
                <w:color w:val="000000"/>
                <w:lang w:val="en-US" w:eastAsia="ko-KR"/>
              </w:rPr>
              <w:t>69</w:t>
            </w:r>
          </w:p>
        </w:tc>
        <w:tc>
          <w:tcPr>
            <w:tcW w:w="820" w:type="pct"/>
            <w:tcBorders>
              <w:top w:val="nil"/>
              <w:left w:val="nil"/>
              <w:bottom w:val="single" w:sz="4" w:space="0" w:color="auto"/>
              <w:right w:val="single" w:sz="4" w:space="0" w:color="auto"/>
            </w:tcBorders>
            <w:shd w:val="clear" w:color="auto" w:fill="auto"/>
            <w:noWrap/>
            <w:vAlign w:val="bottom"/>
            <w:hideMark/>
          </w:tcPr>
          <w:p w14:paraId="5C50466D"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208</w:t>
            </w:r>
            <w:r>
              <w:rPr>
                <w:rFonts w:eastAsia="Times New Roman"/>
                <w:b/>
                <w:bCs/>
                <w:color w:val="000000"/>
                <w:lang w:val="en-US" w:eastAsia="ko-KR"/>
              </w:rPr>
              <w:t>.</w:t>
            </w:r>
            <w:r w:rsidRPr="00E65915">
              <w:rPr>
                <w:rFonts w:eastAsia="Times New Roman"/>
                <w:b/>
                <w:bCs/>
                <w:color w:val="000000"/>
                <w:lang w:val="en-US" w:eastAsia="ko-KR"/>
              </w:rPr>
              <w:t>25</w:t>
            </w:r>
          </w:p>
        </w:tc>
        <w:tc>
          <w:tcPr>
            <w:tcW w:w="737" w:type="pct"/>
            <w:tcBorders>
              <w:top w:val="nil"/>
              <w:left w:val="nil"/>
              <w:bottom w:val="single" w:sz="4" w:space="0" w:color="auto"/>
              <w:right w:val="single" w:sz="4" w:space="0" w:color="auto"/>
            </w:tcBorders>
            <w:shd w:val="clear" w:color="auto" w:fill="auto"/>
            <w:noWrap/>
            <w:vAlign w:val="bottom"/>
            <w:hideMark/>
          </w:tcPr>
          <w:p w14:paraId="0EAAA3F5"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0</w:t>
            </w:r>
            <w:r>
              <w:rPr>
                <w:rFonts w:eastAsia="Times New Roman"/>
                <w:color w:val="000000"/>
                <w:lang w:val="en-US" w:eastAsia="ko-KR"/>
              </w:rPr>
              <w:t>.</w:t>
            </w:r>
            <w:r w:rsidRPr="00E65915">
              <w:rPr>
                <w:rFonts w:eastAsia="Times New Roman"/>
                <w:color w:val="000000"/>
                <w:lang w:val="en-US" w:eastAsia="ko-KR"/>
              </w:rPr>
              <w:t>586</w:t>
            </w:r>
          </w:p>
        </w:tc>
      </w:tr>
      <w:tr w:rsidR="00012C5C" w:rsidRPr="00E65915" w14:paraId="64D074A1" w14:textId="77777777" w:rsidTr="00BD1E8D">
        <w:trPr>
          <w:trHeight w:val="290"/>
          <w:jc w:val="center"/>
        </w:trPr>
        <w:tc>
          <w:tcPr>
            <w:tcW w:w="656" w:type="pct"/>
            <w:tcBorders>
              <w:top w:val="nil"/>
              <w:left w:val="single" w:sz="4" w:space="0" w:color="auto"/>
              <w:bottom w:val="single" w:sz="4" w:space="0" w:color="auto"/>
              <w:right w:val="single" w:sz="4" w:space="0" w:color="auto"/>
            </w:tcBorders>
            <w:shd w:val="clear" w:color="auto" w:fill="auto"/>
            <w:noWrap/>
            <w:vAlign w:val="bottom"/>
            <w:hideMark/>
          </w:tcPr>
          <w:p w14:paraId="7083D64C"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60</w:t>
            </w:r>
          </w:p>
        </w:tc>
        <w:tc>
          <w:tcPr>
            <w:tcW w:w="558" w:type="pct"/>
            <w:tcBorders>
              <w:top w:val="nil"/>
              <w:left w:val="nil"/>
              <w:bottom w:val="single" w:sz="4" w:space="0" w:color="auto"/>
              <w:right w:val="single" w:sz="4" w:space="0" w:color="auto"/>
            </w:tcBorders>
            <w:shd w:val="clear" w:color="auto" w:fill="auto"/>
            <w:noWrap/>
            <w:vAlign w:val="bottom"/>
            <w:hideMark/>
          </w:tcPr>
          <w:p w14:paraId="0CC1106F"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16</w:t>
            </w:r>
            <w:r>
              <w:rPr>
                <w:rFonts w:eastAsia="Times New Roman"/>
                <w:color w:val="000000"/>
                <w:lang w:val="en-US" w:eastAsia="ko-KR"/>
              </w:rPr>
              <w:t>.</w:t>
            </w:r>
            <w:r w:rsidRPr="00E65915">
              <w:rPr>
                <w:rFonts w:eastAsia="Times New Roman"/>
                <w:color w:val="000000"/>
                <w:lang w:val="en-US" w:eastAsia="ko-KR"/>
              </w:rPr>
              <w:t>67</w:t>
            </w:r>
          </w:p>
        </w:tc>
        <w:tc>
          <w:tcPr>
            <w:tcW w:w="752" w:type="pct"/>
            <w:tcBorders>
              <w:top w:val="nil"/>
              <w:left w:val="nil"/>
              <w:bottom w:val="single" w:sz="4" w:space="0" w:color="auto"/>
              <w:right w:val="single" w:sz="4" w:space="0" w:color="auto"/>
            </w:tcBorders>
            <w:shd w:val="clear" w:color="auto" w:fill="auto"/>
            <w:noWrap/>
            <w:vAlign w:val="bottom"/>
            <w:hideMark/>
          </w:tcPr>
          <w:p w14:paraId="65A01850"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2</w:t>
            </w:r>
            <w:r>
              <w:rPr>
                <w:rFonts w:eastAsia="Times New Roman"/>
                <w:color w:val="000000"/>
                <w:lang w:val="en-US" w:eastAsia="ko-KR"/>
              </w:rPr>
              <w:t>.</w:t>
            </w:r>
            <w:r w:rsidRPr="00E65915">
              <w:rPr>
                <w:rFonts w:eastAsia="Times New Roman"/>
                <w:color w:val="000000"/>
                <w:lang w:val="en-US" w:eastAsia="ko-KR"/>
              </w:rPr>
              <w:t>78</w:t>
            </w:r>
          </w:p>
        </w:tc>
        <w:tc>
          <w:tcPr>
            <w:tcW w:w="656" w:type="pct"/>
            <w:tcBorders>
              <w:top w:val="nil"/>
              <w:left w:val="nil"/>
              <w:bottom w:val="single" w:sz="4" w:space="0" w:color="auto"/>
              <w:right w:val="single" w:sz="4" w:space="0" w:color="auto"/>
            </w:tcBorders>
            <w:shd w:val="clear" w:color="auto" w:fill="auto"/>
            <w:noWrap/>
            <w:vAlign w:val="bottom"/>
            <w:hideMark/>
          </w:tcPr>
          <w:p w14:paraId="49D1926C"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833</w:t>
            </w:r>
            <w:r>
              <w:rPr>
                <w:rFonts w:eastAsia="Times New Roman"/>
                <w:b/>
                <w:bCs/>
                <w:color w:val="000000"/>
                <w:lang w:val="en-US" w:eastAsia="ko-KR"/>
              </w:rPr>
              <w:t>.</w:t>
            </w:r>
            <w:r w:rsidRPr="00E65915">
              <w:rPr>
                <w:rFonts w:eastAsia="Times New Roman"/>
                <w:b/>
                <w:bCs/>
                <w:color w:val="000000"/>
                <w:lang w:val="en-US" w:eastAsia="ko-KR"/>
              </w:rPr>
              <w:t>5</w:t>
            </w:r>
          </w:p>
        </w:tc>
        <w:tc>
          <w:tcPr>
            <w:tcW w:w="821" w:type="pct"/>
            <w:tcBorders>
              <w:top w:val="nil"/>
              <w:left w:val="nil"/>
              <w:bottom w:val="single" w:sz="4" w:space="0" w:color="auto"/>
              <w:right w:val="single" w:sz="4" w:space="0" w:color="auto"/>
            </w:tcBorders>
            <w:shd w:val="clear" w:color="auto" w:fill="auto"/>
            <w:noWrap/>
            <w:vAlign w:val="bottom"/>
            <w:hideMark/>
          </w:tcPr>
          <w:p w14:paraId="07EB1F84"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1</w:t>
            </w:r>
            <w:r>
              <w:rPr>
                <w:rFonts w:eastAsia="Times New Roman"/>
                <w:color w:val="000000"/>
                <w:lang w:val="en-US" w:eastAsia="ko-KR"/>
              </w:rPr>
              <w:t>.</w:t>
            </w:r>
            <w:r w:rsidRPr="00E65915">
              <w:rPr>
                <w:rFonts w:eastAsia="Times New Roman"/>
                <w:color w:val="000000"/>
                <w:lang w:val="en-US" w:eastAsia="ko-KR"/>
              </w:rPr>
              <w:t>39</w:t>
            </w:r>
          </w:p>
        </w:tc>
        <w:tc>
          <w:tcPr>
            <w:tcW w:w="820" w:type="pct"/>
            <w:tcBorders>
              <w:top w:val="nil"/>
              <w:left w:val="nil"/>
              <w:bottom w:val="single" w:sz="4" w:space="0" w:color="auto"/>
              <w:right w:val="single" w:sz="4" w:space="0" w:color="auto"/>
            </w:tcBorders>
            <w:shd w:val="clear" w:color="auto" w:fill="auto"/>
            <w:noWrap/>
            <w:vAlign w:val="bottom"/>
            <w:hideMark/>
          </w:tcPr>
          <w:p w14:paraId="6224BC1B"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416</w:t>
            </w:r>
            <w:r>
              <w:rPr>
                <w:rFonts w:eastAsia="Times New Roman"/>
                <w:b/>
                <w:bCs/>
                <w:color w:val="000000"/>
                <w:lang w:val="en-US" w:eastAsia="ko-KR"/>
              </w:rPr>
              <w:t>.</w:t>
            </w:r>
            <w:r w:rsidRPr="00E65915">
              <w:rPr>
                <w:rFonts w:eastAsia="Times New Roman"/>
                <w:b/>
                <w:bCs/>
                <w:color w:val="000000"/>
                <w:lang w:val="en-US" w:eastAsia="ko-KR"/>
              </w:rPr>
              <w:t>75</w:t>
            </w:r>
          </w:p>
        </w:tc>
        <w:tc>
          <w:tcPr>
            <w:tcW w:w="737" w:type="pct"/>
            <w:tcBorders>
              <w:top w:val="nil"/>
              <w:left w:val="nil"/>
              <w:bottom w:val="single" w:sz="4" w:space="0" w:color="auto"/>
              <w:right w:val="single" w:sz="4" w:space="0" w:color="auto"/>
            </w:tcBorders>
            <w:shd w:val="clear" w:color="auto" w:fill="auto"/>
            <w:noWrap/>
            <w:vAlign w:val="bottom"/>
            <w:hideMark/>
          </w:tcPr>
          <w:p w14:paraId="365137A5"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1</w:t>
            </w:r>
            <w:r>
              <w:rPr>
                <w:rFonts w:eastAsia="Times New Roman"/>
                <w:color w:val="000000"/>
                <w:lang w:val="en-US" w:eastAsia="ko-KR"/>
              </w:rPr>
              <w:t>.</w:t>
            </w:r>
            <w:r w:rsidRPr="00E65915">
              <w:rPr>
                <w:rFonts w:eastAsia="Times New Roman"/>
                <w:color w:val="000000"/>
                <w:lang w:val="en-US" w:eastAsia="ko-KR"/>
              </w:rPr>
              <w:t>172</w:t>
            </w:r>
          </w:p>
        </w:tc>
      </w:tr>
      <w:tr w:rsidR="00012C5C" w:rsidRPr="00E65915" w14:paraId="729008C3" w14:textId="77777777" w:rsidTr="00BD1E8D">
        <w:trPr>
          <w:trHeight w:val="290"/>
          <w:jc w:val="center"/>
        </w:trPr>
        <w:tc>
          <w:tcPr>
            <w:tcW w:w="656" w:type="pct"/>
            <w:tcBorders>
              <w:top w:val="nil"/>
              <w:left w:val="single" w:sz="4" w:space="0" w:color="auto"/>
              <w:bottom w:val="single" w:sz="4" w:space="0" w:color="auto"/>
              <w:right w:val="single" w:sz="4" w:space="0" w:color="auto"/>
            </w:tcBorders>
            <w:shd w:val="clear" w:color="auto" w:fill="auto"/>
            <w:noWrap/>
            <w:vAlign w:val="bottom"/>
            <w:hideMark/>
          </w:tcPr>
          <w:p w14:paraId="2C172D77"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30</w:t>
            </w:r>
          </w:p>
        </w:tc>
        <w:tc>
          <w:tcPr>
            <w:tcW w:w="558" w:type="pct"/>
            <w:tcBorders>
              <w:top w:val="nil"/>
              <w:left w:val="nil"/>
              <w:bottom w:val="single" w:sz="4" w:space="0" w:color="auto"/>
              <w:right w:val="single" w:sz="4" w:space="0" w:color="auto"/>
            </w:tcBorders>
            <w:shd w:val="clear" w:color="auto" w:fill="auto"/>
            <w:noWrap/>
            <w:vAlign w:val="bottom"/>
            <w:hideMark/>
          </w:tcPr>
          <w:p w14:paraId="1037F411"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33</w:t>
            </w:r>
            <w:r>
              <w:rPr>
                <w:rFonts w:eastAsia="Times New Roman"/>
                <w:color w:val="000000"/>
                <w:lang w:val="en-US" w:eastAsia="ko-KR"/>
              </w:rPr>
              <w:t>.</w:t>
            </w:r>
            <w:r w:rsidRPr="00E65915">
              <w:rPr>
                <w:rFonts w:eastAsia="Times New Roman"/>
                <w:color w:val="000000"/>
                <w:lang w:val="en-US" w:eastAsia="ko-KR"/>
              </w:rPr>
              <w:t>33</w:t>
            </w:r>
          </w:p>
        </w:tc>
        <w:tc>
          <w:tcPr>
            <w:tcW w:w="752" w:type="pct"/>
            <w:tcBorders>
              <w:top w:val="nil"/>
              <w:left w:val="nil"/>
              <w:bottom w:val="single" w:sz="4" w:space="0" w:color="auto"/>
              <w:right w:val="single" w:sz="4" w:space="0" w:color="auto"/>
            </w:tcBorders>
            <w:shd w:val="clear" w:color="auto" w:fill="auto"/>
            <w:noWrap/>
            <w:vAlign w:val="bottom"/>
            <w:hideMark/>
          </w:tcPr>
          <w:p w14:paraId="4D9AEEBE"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5</w:t>
            </w:r>
            <w:r>
              <w:rPr>
                <w:rFonts w:eastAsia="Times New Roman"/>
                <w:color w:val="000000"/>
                <w:lang w:val="en-US" w:eastAsia="ko-KR"/>
              </w:rPr>
              <w:t>.</w:t>
            </w:r>
            <w:r w:rsidRPr="00E65915">
              <w:rPr>
                <w:rFonts w:eastAsia="Times New Roman"/>
                <w:color w:val="000000"/>
                <w:lang w:val="en-US" w:eastAsia="ko-KR"/>
              </w:rPr>
              <w:t>56</w:t>
            </w:r>
          </w:p>
        </w:tc>
        <w:tc>
          <w:tcPr>
            <w:tcW w:w="656" w:type="pct"/>
            <w:tcBorders>
              <w:top w:val="nil"/>
              <w:left w:val="nil"/>
              <w:bottom w:val="single" w:sz="4" w:space="0" w:color="auto"/>
              <w:right w:val="single" w:sz="4" w:space="0" w:color="auto"/>
            </w:tcBorders>
            <w:shd w:val="clear" w:color="auto" w:fill="auto"/>
            <w:noWrap/>
            <w:vAlign w:val="bottom"/>
            <w:hideMark/>
          </w:tcPr>
          <w:p w14:paraId="4BC5BC33"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1666</w:t>
            </w:r>
            <w:r>
              <w:rPr>
                <w:rFonts w:eastAsia="Times New Roman"/>
                <w:b/>
                <w:bCs/>
                <w:color w:val="000000"/>
                <w:lang w:val="en-US" w:eastAsia="ko-KR"/>
              </w:rPr>
              <w:t>.</w:t>
            </w:r>
            <w:r w:rsidRPr="00E65915">
              <w:rPr>
                <w:rFonts w:eastAsia="Times New Roman"/>
                <w:b/>
                <w:bCs/>
                <w:color w:val="000000"/>
                <w:lang w:val="en-US" w:eastAsia="ko-KR"/>
              </w:rPr>
              <w:t>5</w:t>
            </w:r>
          </w:p>
        </w:tc>
        <w:tc>
          <w:tcPr>
            <w:tcW w:w="821" w:type="pct"/>
            <w:tcBorders>
              <w:top w:val="nil"/>
              <w:left w:val="nil"/>
              <w:bottom w:val="single" w:sz="4" w:space="0" w:color="auto"/>
              <w:right w:val="single" w:sz="4" w:space="0" w:color="auto"/>
            </w:tcBorders>
            <w:shd w:val="clear" w:color="auto" w:fill="auto"/>
            <w:noWrap/>
            <w:vAlign w:val="bottom"/>
            <w:hideMark/>
          </w:tcPr>
          <w:p w14:paraId="7BD1CDCF"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2</w:t>
            </w:r>
            <w:r>
              <w:rPr>
                <w:rFonts w:eastAsia="Times New Roman"/>
                <w:color w:val="000000"/>
                <w:lang w:val="en-US" w:eastAsia="ko-KR"/>
              </w:rPr>
              <w:t>.</w:t>
            </w:r>
            <w:r w:rsidRPr="00E65915">
              <w:rPr>
                <w:rFonts w:eastAsia="Times New Roman"/>
                <w:color w:val="000000"/>
                <w:lang w:val="en-US" w:eastAsia="ko-KR"/>
              </w:rPr>
              <w:t>78</w:t>
            </w:r>
          </w:p>
        </w:tc>
        <w:tc>
          <w:tcPr>
            <w:tcW w:w="820" w:type="pct"/>
            <w:tcBorders>
              <w:top w:val="nil"/>
              <w:left w:val="nil"/>
              <w:bottom w:val="single" w:sz="4" w:space="0" w:color="auto"/>
              <w:right w:val="single" w:sz="4" w:space="0" w:color="auto"/>
            </w:tcBorders>
            <w:shd w:val="clear" w:color="auto" w:fill="auto"/>
            <w:noWrap/>
            <w:vAlign w:val="bottom"/>
            <w:hideMark/>
          </w:tcPr>
          <w:p w14:paraId="3AD183DF"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833</w:t>
            </w:r>
            <w:r>
              <w:rPr>
                <w:rFonts w:eastAsia="Times New Roman"/>
                <w:b/>
                <w:bCs/>
                <w:color w:val="000000"/>
                <w:lang w:val="en-US" w:eastAsia="ko-KR"/>
              </w:rPr>
              <w:t>.</w:t>
            </w:r>
            <w:r w:rsidRPr="00E65915">
              <w:rPr>
                <w:rFonts w:eastAsia="Times New Roman"/>
                <w:b/>
                <w:bCs/>
                <w:color w:val="000000"/>
                <w:lang w:val="en-US" w:eastAsia="ko-KR"/>
              </w:rPr>
              <w:t>25</w:t>
            </w:r>
          </w:p>
        </w:tc>
        <w:tc>
          <w:tcPr>
            <w:tcW w:w="737" w:type="pct"/>
            <w:tcBorders>
              <w:top w:val="nil"/>
              <w:left w:val="nil"/>
              <w:bottom w:val="single" w:sz="4" w:space="0" w:color="auto"/>
              <w:right w:val="single" w:sz="4" w:space="0" w:color="auto"/>
            </w:tcBorders>
            <w:shd w:val="clear" w:color="auto" w:fill="auto"/>
            <w:noWrap/>
            <w:vAlign w:val="bottom"/>
            <w:hideMark/>
          </w:tcPr>
          <w:p w14:paraId="12BCDDA7"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2</w:t>
            </w:r>
            <w:r>
              <w:rPr>
                <w:rFonts w:eastAsia="Times New Roman"/>
                <w:color w:val="000000"/>
                <w:lang w:val="en-US" w:eastAsia="ko-KR"/>
              </w:rPr>
              <w:t>.</w:t>
            </w:r>
            <w:r w:rsidRPr="00E65915">
              <w:rPr>
                <w:rFonts w:eastAsia="Times New Roman"/>
                <w:color w:val="000000"/>
                <w:lang w:val="en-US" w:eastAsia="ko-KR"/>
              </w:rPr>
              <w:t>344</w:t>
            </w:r>
          </w:p>
        </w:tc>
      </w:tr>
      <w:tr w:rsidR="00012C5C" w:rsidRPr="00E65915" w14:paraId="2E6FE98F" w14:textId="77777777" w:rsidTr="00BD1E8D">
        <w:trPr>
          <w:trHeight w:val="290"/>
          <w:jc w:val="center"/>
        </w:trPr>
        <w:tc>
          <w:tcPr>
            <w:tcW w:w="656" w:type="pct"/>
            <w:tcBorders>
              <w:top w:val="nil"/>
              <w:left w:val="single" w:sz="4" w:space="0" w:color="auto"/>
              <w:bottom w:val="single" w:sz="4" w:space="0" w:color="auto"/>
              <w:right w:val="single" w:sz="4" w:space="0" w:color="auto"/>
            </w:tcBorders>
            <w:shd w:val="clear" w:color="auto" w:fill="auto"/>
            <w:noWrap/>
            <w:vAlign w:val="bottom"/>
            <w:hideMark/>
          </w:tcPr>
          <w:p w14:paraId="1AAD0A6B"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15</w:t>
            </w:r>
          </w:p>
        </w:tc>
        <w:tc>
          <w:tcPr>
            <w:tcW w:w="558" w:type="pct"/>
            <w:tcBorders>
              <w:top w:val="nil"/>
              <w:left w:val="nil"/>
              <w:bottom w:val="single" w:sz="4" w:space="0" w:color="auto"/>
              <w:right w:val="single" w:sz="4" w:space="0" w:color="auto"/>
            </w:tcBorders>
            <w:shd w:val="clear" w:color="auto" w:fill="auto"/>
            <w:noWrap/>
            <w:vAlign w:val="bottom"/>
            <w:hideMark/>
          </w:tcPr>
          <w:p w14:paraId="7B755BCC"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66</w:t>
            </w:r>
            <w:r>
              <w:rPr>
                <w:rFonts w:eastAsia="Times New Roman"/>
                <w:color w:val="000000"/>
                <w:lang w:val="en-US" w:eastAsia="ko-KR"/>
              </w:rPr>
              <w:t>.</w:t>
            </w:r>
            <w:r w:rsidRPr="00E65915">
              <w:rPr>
                <w:rFonts w:eastAsia="Times New Roman"/>
                <w:color w:val="000000"/>
                <w:lang w:val="en-US" w:eastAsia="ko-KR"/>
              </w:rPr>
              <w:t>67</w:t>
            </w:r>
          </w:p>
        </w:tc>
        <w:tc>
          <w:tcPr>
            <w:tcW w:w="752" w:type="pct"/>
            <w:tcBorders>
              <w:top w:val="nil"/>
              <w:left w:val="nil"/>
              <w:bottom w:val="single" w:sz="4" w:space="0" w:color="auto"/>
              <w:right w:val="single" w:sz="4" w:space="0" w:color="auto"/>
            </w:tcBorders>
            <w:shd w:val="clear" w:color="auto" w:fill="auto"/>
            <w:noWrap/>
            <w:vAlign w:val="bottom"/>
            <w:hideMark/>
          </w:tcPr>
          <w:p w14:paraId="604F9266"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11</w:t>
            </w:r>
            <w:r>
              <w:rPr>
                <w:rFonts w:eastAsia="Times New Roman"/>
                <w:color w:val="000000"/>
                <w:lang w:val="en-US" w:eastAsia="ko-KR"/>
              </w:rPr>
              <w:t>.</w:t>
            </w:r>
            <w:r w:rsidRPr="00E65915">
              <w:rPr>
                <w:rFonts w:eastAsia="Times New Roman"/>
                <w:color w:val="000000"/>
                <w:lang w:val="en-US" w:eastAsia="ko-KR"/>
              </w:rPr>
              <w:t>11</w:t>
            </w:r>
          </w:p>
        </w:tc>
        <w:tc>
          <w:tcPr>
            <w:tcW w:w="656" w:type="pct"/>
            <w:tcBorders>
              <w:top w:val="nil"/>
              <w:left w:val="nil"/>
              <w:bottom w:val="single" w:sz="4" w:space="0" w:color="auto"/>
              <w:right w:val="single" w:sz="4" w:space="0" w:color="auto"/>
            </w:tcBorders>
            <w:shd w:val="clear" w:color="auto" w:fill="auto"/>
            <w:noWrap/>
            <w:vAlign w:val="bottom"/>
            <w:hideMark/>
          </w:tcPr>
          <w:p w14:paraId="67B04578"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3333</w:t>
            </w:r>
            <w:r>
              <w:rPr>
                <w:rFonts w:eastAsia="Times New Roman"/>
                <w:b/>
                <w:bCs/>
                <w:color w:val="000000"/>
                <w:lang w:val="en-US" w:eastAsia="ko-KR"/>
              </w:rPr>
              <w:t>.</w:t>
            </w:r>
            <w:r w:rsidRPr="00E65915">
              <w:rPr>
                <w:rFonts w:eastAsia="Times New Roman"/>
                <w:b/>
                <w:bCs/>
                <w:color w:val="000000"/>
                <w:lang w:val="en-US" w:eastAsia="ko-KR"/>
              </w:rPr>
              <w:t>5</w:t>
            </w:r>
          </w:p>
        </w:tc>
        <w:tc>
          <w:tcPr>
            <w:tcW w:w="821" w:type="pct"/>
            <w:tcBorders>
              <w:top w:val="nil"/>
              <w:left w:val="nil"/>
              <w:bottom w:val="single" w:sz="4" w:space="0" w:color="auto"/>
              <w:right w:val="single" w:sz="4" w:space="0" w:color="auto"/>
            </w:tcBorders>
            <w:shd w:val="clear" w:color="auto" w:fill="auto"/>
            <w:noWrap/>
            <w:vAlign w:val="bottom"/>
            <w:hideMark/>
          </w:tcPr>
          <w:p w14:paraId="7065F471"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5</w:t>
            </w:r>
            <w:r>
              <w:rPr>
                <w:rFonts w:eastAsia="Times New Roman"/>
                <w:color w:val="000000"/>
                <w:lang w:val="en-US" w:eastAsia="ko-KR"/>
              </w:rPr>
              <w:t>.</w:t>
            </w:r>
            <w:r w:rsidRPr="00E65915">
              <w:rPr>
                <w:rFonts w:eastAsia="Times New Roman"/>
                <w:color w:val="000000"/>
                <w:lang w:val="en-US" w:eastAsia="ko-KR"/>
              </w:rPr>
              <w:t>56</w:t>
            </w:r>
          </w:p>
        </w:tc>
        <w:tc>
          <w:tcPr>
            <w:tcW w:w="820" w:type="pct"/>
            <w:tcBorders>
              <w:top w:val="nil"/>
              <w:left w:val="nil"/>
              <w:bottom w:val="single" w:sz="4" w:space="0" w:color="auto"/>
              <w:right w:val="single" w:sz="4" w:space="0" w:color="auto"/>
            </w:tcBorders>
            <w:shd w:val="clear" w:color="auto" w:fill="auto"/>
            <w:noWrap/>
            <w:vAlign w:val="bottom"/>
            <w:hideMark/>
          </w:tcPr>
          <w:p w14:paraId="125F89D1" w14:textId="77777777" w:rsidR="00012C5C" w:rsidRPr="00E65915" w:rsidRDefault="00012C5C" w:rsidP="00BD1E8D">
            <w:pPr>
              <w:overflowPunct/>
              <w:autoSpaceDE/>
              <w:autoSpaceDN/>
              <w:adjustRightInd/>
              <w:spacing w:after="0"/>
              <w:jc w:val="right"/>
              <w:textAlignment w:val="auto"/>
              <w:rPr>
                <w:rFonts w:eastAsia="Times New Roman"/>
                <w:b/>
                <w:bCs/>
                <w:color w:val="000000"/>
                <w:lang w:val="en-US" w:eastAsia="ko-KR"/>
              </w:rPr>
            </w:pPr>
            <w:r w:rsidRPr="00E65915">
              <w:rPr>
                <w:rFonts w:eastAsia="Times New Roman"/>
                <w:b/>
                <w:bCs/>
                <w:color w:val="000000"/>
                <w:lang w:val="en-US" w:eastAsia="ko-KR"/>
              </w:rPr>
              <w:t>1666</w:t>
            </w:r>
            <w:r>
              <w:rPr>
                <w:rFonts w:eastAsia="Times New Roman"/>
                <w:b/>
                <w:bCs/>
                <w:color w:val="000000"/>
                <w:lang w:val="en-US" w:eastAsia="ko-KR"/>
              </w:rPr>
              <w:t>.</w:t>
            </w:r>
            <w:r w:rsidRPr="00E65915">
              <w:rPr>
                <w:rFonts w:eastAsia="Times New Roman"/>
                <w:b/>
                <w:bCs/>
                <w:color w:val="000000"/>
                <w:lang w:val="en-US" w:eastAsia="ko-KR"/>
              </w:rPr>
              <w:t>75</w:t>
            </w:r>
          </w:p>
        </w:tc>
        <w:tc>
          <w:tcPr>
            <w:tcW w:w="737" w:type="pct"/>
            <w:tcBorders>
              <w:top w:val="nil"/>
              <w:left w:val="nil"/>
              <w:bottom w:val="single" w:sz="4" w:space="0" w:color="auto"/>
              <w:right w:val="single" w:sz="4" w:space="0" w:color="auto"/>
            </w:tcBorders>
            <w:shd w:val="clear" w:color="auto" w:fill="auto"/>
            <w:noWrap/>
            <w:vAlign w:val="bottom"/>
            <w:hideMark/>
          </w:tcPr>
          <w:p w14:paraId="7636C6A7" w14:textId="77777777" w:rsidR="00012C5C" w:rsidRPr="00E65915" w:rsidRDefault="00012C5C" w:rsidP="00BD1E8D">
            <w:pPr>
              <w:overflowPunct/>
              <w:autoSpaceDE/>
              <w:autoSpaceDN/>
              <w:adjustRightInd/>
              <w:spacing w:after="0"/>
              <w:jc w:val="right"/>
              <w:textAlignment w:val="auto"/>
              <w:rPr>
                <w:rFonts w:eastAsia="Times New Roman"/>
                <w:color w:val="000000"/>
                <w:lang w:val="en-US" w:eastAsia="ko-KR"/>
              </w:rPr>
            </w:pPr>
            <w:r w:rsidRPr="00E65915">
              <w:rPr>
                <w:rFonts w:eastAsia="Times New Roman"/>
                <w:color w:val="000000"/>
                <w:lang w:val="en-US" w:eastAsia="ko-KR"/>
              </w:rPr>
              <w:t>4</w:t>
            </w:r>
            <w:r>
              <w:rPr>
                <w:rFonts w:eastAsia="Times New Roman"/>
                <w:color w:val="000000"/>
                <w:lang w:val="en-US" w:eastAsia="ko-KR"/>
              </w:rPr>
              <w:t>.</w:t>
            </w:r>
            <w:r w:rsidRPr="00E65915">
              <w:rPr>
                <w:rFonts w:eastAsia="Times New Roman"/>
                <w:color w:val="000000"/>
                <w:lang w:val="en-US" w:eastAsia="ko-KR"/>
              </w:rPr>
              <w:t>688</w:t>
            </w:r>
          </w:p>
        </w:tc>
      </w:tr>
    </w:tbl>
    <w:p w14:paraId="29E920CD" w14:textId="77777777" w:rsidR="00A9149C" w:rsidRDefault="00A9149C" w:rsidP="00012C5C">
      <w:pPr>
        <w:spacing w:line="259" w:lineRule="auto"/>
        <w:rPr>
          <w:lang w:val="en-US"/>
        </w:rPr>
      </w:pPr>
    </w:p>
    <w:p w14:paraId="755CFD78" w14:textId="77FB4231" w:rsidR="00012C5C" w:rsidRDefault="00012C5C" w:rsidP="00012C5C">
      <w:pPr>
        <w:spacing w:line="259" w:lineRule="auto"/>
      </w:pPr>
      <w:r w:rsidRPr="5B73DA29">
        <w:rPr>
          <w:lang w:val="en-US"/>
        </w:rPr>
        <w:t xml:space="preserve">In Figure </w:t>
      </w:r>
      <w:r w:rsidR="000A584E">
        <w:rPr>
          <w:lang w:val="en-US"/>
        </w:rPr>
        <w:t>1</w:t>
      </w:r>
      <w:r w:rsidRPr="5B73DA29">
        <w:rPr>
          <w:lang w:val="en-US"/>
        </w:rPr>
        <w:t xml:space="preserve">, comb structure and bar-type structure are illustrated. The bar type is supported in Rel-15, so Rel-16 SRS needs additionally to support comb structures for UL PRS. </w:t>
      </w:r>
      <w:r>
        <w:t xml:space="preserve">A large comb offset gives more flexibility and large capacity of MU scheduling, and the staggering RE structure also has benefit to boost TX power by steps up to configurations. Especially, when RAN1 discusses SRS beam sweeping for UL positioning, it may need more flexible RE structures such as N&gt;4 comb structure. We think RAN1 needs to discuss comb-N structure with N&gt;4 for positioning purpose. </w:t>
      </w:r>
    </w:p>
    <w:p w14:paraId="1FC1E91E" w14:textId="4BB64D46" w:rsidR="00012C5C" w:rsidRDefault="00012C5C" w:rsidP="00012C5C">
      <w:pPr>
        <w:spacing w:line="259" w:lineRule="auto"/>
        <w:rPr>
          <w:lang w:val="en-US"/>
        </w:rPr>
      </w:pPr>
      <w:r w:rsidRPr="5B73DA29">
        <w:rPr>
          <w:lang w:val="en-US"/>
        </w:rPr>
        <w:t>Comb-6 and comb-12 have been discussed, in the Table 1 and 2, we see benefits of comb-6. Its estimation range can cover channel delays almost 3-times of CP length. Assuming a CP length is possible propagation delay in the NR system design, it seems to have a good range of estimation and give more flexibility for MU multiplexing. However, comb-12 estimation range appears short to cover required channel delay as</w:t>
      </w:r>
      <w:r w:rsidR="000A584E">
        <w:rPr>
          <w:lang w:val="en-US"/>
        </w:rPr>
        <w:t xml:space="preserve"> see in</w:t>
      </w:r>
      <w:r w:rsidRPr="5B73DA29">
        <w:rPr>
          <w:lang w:val="en-US"/>
        </w:rPr>
        <w:t xml:space="preserve"> </w:t>
      </w:r>
      <w:r w:rsidRPr="007A442B">
        <w:rPr>
          <w:lang w:val="en-US"/>
        </w:rPr>
        <w:t>Table</w:t>
      </w:r>
      <w:r w:rsidRPr="005A4E25">
        <w:rPr>
          <w:lang w:val="en-US"/>
        </w:rPr>
        <w:t xml:space="preserve"> </w:t>
      </w:r>
      <w:r w:rsidRPr="007A442B">
        <w:rPr>
          <w:lang w:val="en-US"/>
        </w:rPr>
        <w:t>1</w:t>
      </w:r>
      <w:r w:rsidRPr="005A4E25">
        <w:rPr>
          <w:lang w:val="en-US"/>
        </w:rPr>
        <w:t xml:space="preserve">. Comb-12 just makes tightly the same range of the CP length. We simulate UTODA performances under </w:t>
      </w:r>
      <w:proofErr w:type="spellStart"/>
      <w:r w:rsidRPr="005A4E25">
        <w:rPr>
          <w:lang w:val="en-US"/>
        </w:rPr>
        <w:t>UMa</w:t>
      </w:r>
      <w:proofErr w:type="spellEnd"/>
      <w:r w:rsidRPr="005A4E25">
        <w:rPr>
          <w:lang w:val="en-US"/>
        </w:rPr>
        <w:t xml:space="preserve"> circumstances as in [</w:t>
      </w:r>
      <w:r w:rsidR="005A4E25">
        <w:rPr>
          <w:lang w:val="en-US"/>
        </w:rPr>
        <w:t>6</w:t>
      </w:r>
      <w:proofErr w:type="gramStart"/>
      <w:r w:rsidRPr="005A4E25">
        <w:rPr>
          <w:lang w:val="en-US"/>
        </w:rPr>
        <w:t>] .</w:t>
      </w:r>
      <w:proofErr w:type="gramEnd"/>
      <w:r w:rsidRPr="005A4E25">
        <w:rPr>
          <w:lang w:val="en-US"/>
        </w:rPr>
        <w:t xml:space="preserve"> The simulations utilize 2 –symbol SRS with different comb-N structures like Figure-</w:t>
      </w:r>
      <w:r w:rsidR="000A584E" w:rsidRPr="007A442B">
        <w:rPr>
          <w:lang w:val="en-US"/>
        </w:rPr>
        <w:t>1</w:t>
      </w:r>
      <w:r w:rsidRPr="005A4E25">
        <w:rPr>
          <w:lang w:val="en-US"/>
        </w:rPr>
        <w:t xml:space="preserve"> lower RE patterns. We see less usage of the comb-12 structure due to the short range in the outdoor circumstance, and its performance is degraded by more than 10m distance in </w:t>
      </w:r>
      <w:r w:rsidRPr="007A442B">
        <w:rPr>
          <w:lang w:val="en-US"/>
        </w:rPr>
        <w:t xml:space="preserve">Figure </w:t>
      </w:r>
      <w:r w:rsidR="000A584E" w:rsidRPr="007A442B">
        <w:rPr>
          <w:lang w:val="en-US"/>
        </w:rPr>
        <w:t>2</w:t>
      </w:r>
      <w:r w:rsidRPr="005A4E25">
        <w:rPr>
          <w:lang w:val="en-US"/>
        </w:rPr>
        <w:t>.</w:t>
      </w:r>
      <w:r w:rsidRPr="5B73DA29">
        <w:rPr>
          <w:lang w:val="en-US"/>
        </w:rPr>
        <w:t xml:space="preserve"> We prefer to introduce comb-6 SRS only in Rel-15</w:t>
      </w:r>
    </w:p>
    <w:p w14:paraId="6D18D473" w14:textId="2BBF4A0D" w:rsidR="00012C5C" w:rsidRDefault="00012C5C" w:rsidP="002C4FEF">
      <w:pPr>
        <w:spacing w:line="259" w:lineRule="auto"/>
        <w:jc w:val="center"/>
        <w:rPr>
          <w:lang w:val="en-US"/>
        </w:rPr>
      </w:pPr>
      <w:r w:rsidRPr="00623C30">
        <w:rPr>
          <w:noProof/>
          <w:lang w:val="en-US"/>
        </w:rPr>
        <w:lastRenderedPageBreak/>
        <w:drawing>
          <wp:inline distT="0" distB="0" distL="0" distR="0" wp14:anchorId="22D32839" wp14:editId="19BAE116">
            <wp:extent cx="2855667" cy="20638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0822" cy="2074755"/>
                    </a:xfrm>
                    <a:prstGeom prst="rect">
                      <a:avLst/>
                    </a:prstGeom>
                    <a:noFill/>
                    <a:ln>
                      <a:noFill/>
                    </a:ln>
                  </pic:spPr>
                </pic:pic>
              </a:graphicData>
            </a:graphic>
          </wp:inline>
        </w:drawing>
      </w:r>
    </w:p>
    <w:p w14:paraId="193D6597" w14:textId="4DCAC667" w:rsidR="00012C5C" w:rsidRDefault="00012C5C" w:rsidP="007A442B">
      <w:pPr>
        <w:spacing w:line="259" w:lineRule="auto"/>
        <w:jc w:val="center"/>
        <w:rPr>
          <w:b/>
          <w:bCs/>
          <w:highlight w:val="cyan"/>
        </w:rPr>
      </w:pPr>
      <w:r w:rsidRPr="008B678B">
        <w:rPr>
          <w:b/>
          <w:bCs/>
        </w:rPr>
        <w:t xml:space="preserve">Figure </w:t>
      </w:r>
      <w:r w:rsidR="000A584E">
        <w:rPr>
          <w:b/>
          <w:bCs/>
        </w:rPr>
        <w:t>2</w:t>
      </w:r>
      <w:r w:rsidRPr="008B678B">
        <w:rPr>
          <w:b/>
          <w:bCs/>
        </w:rPr>
        <w:t xml:space="preserve">: </w:t>
      </w:r>
      <w:r w:rsidRPr="00235E53">
        <w:rPr>
          <w:b/>
          <w:bCs/>
        </w:rPr>
        <w:t>UTDOA performance with SRS comb-N structures</w:t>
      </w:r>
    </w:p>
    <w:p w14:paraId="380C3E72" w14:textId="22D554DE" w:rsidR="00012C5C" w:rsidRDefault="00012C5C" w:rsidP="00012C5C">
      <w:pPr>
        <w:spacing w:line="259" w:lineRule="auto"/>
      </w:pPr>
      <w:r w:rsidRPr="007A442B">
        <w:rPr>
          <w:b/>
          <w:bCs/>
        </w:rPr>
        <w:t xml:space="preserve">Proposal </w:t>
      </w:r>
      <w:r w:rsidR="00153A08">
        <w:rPr>
          <w:b/>
          <w:bCs/>
        </w:rPr>
        <w:t>1</w:t>
      </w:r>
      <w:r w:rsidRPr="007A442B">
        <w:rPr>
          <w:b/>
          <w:bCs/>
        </w:rPr>
        <w:t>:</w:t>
      </w:r>
      <w:r w:rsidRPr="007A442B">
        <w:t xml:space="preserve"> </w:t>
      </w:r>
      <w:r w:rsidRPr="00852B2B">
        <w:t>Consider comb-6 SRS structure additionally for UL positioning.</w:t>
      </w:r>
    </w:p>
    <w:p w14:paraId="30E1F22B" w14:textId="4F77CDBA" w:rsidR="00012C5C" w:rsidRPr="00ED6470" w:rsidRDefault="00012C5C" w:rsidP="00012C5C">
      <w:pPr>
        <w:spacing w:line="259" w:lineRule="auto"/>
      </w:pPr>
      <w:r w:rsidRPr="5B73DA29">
        <w:rPr>
          <w:lang w:val="en-US"/>
        </w:rPr>
        <w:t>In addition, comb-1 structure has been discussed for benefit of long delay estimation</w:t>
      </w:r>
      <w:r w:rsidR="00BD1E8D">
        <w:rPr>
          <w:lang w:val="en-US"/>
        </w:rPr>
        <w:t xml:space="preserve"> [8]</w:t>
      </w:r>
      <w:r w:rsidRPr="5B73DA29">
        <w:rPr>
          <w:lang w:val="en-US"/>
        </w:rPr>
        <w:t>. Continuous SRS allocation in frequency REs (Comb-1) has been reviewed in Rel-15 SRS design discussions too, but issues such as TX power, PAPR and UE capacity for SRS resources have been identified during Rel-15 SRS discussions, so there may not need to revisit the same issues in NR-Positioning discussion. Comb-2 with staggering is expected to perform like the Comb-1 structure.  </w:t>
      </w:r>
    </w:p>
    <w:p w14:paraId="0E1738C0" w14:textId="38294EFF" w:rsidR="00012C5C" w:rsidRPr="007864AD" w:rsidRDefault="00012C5C" w:rsidP="00012C5C">
      <w:pPr>
        <w:rPr>
          <w:b/>
          <w:i/>
          <w:sz w:val="24"/>
          <w:szCs w:val="24"/>
          <w:highlight w:val="yellow"/>
          <w:u w:val="single"/>
          <w:lang w:val="en-US"/>
        </w:rPr>
      </w:pPr>
      <w:r w:rsidRPr="002449C9">
        <w:rPr>
          <w:b/>
          <w:i/>
          <w:sz w:val="24"/>
          <w:szCs w:val="24"/>
          <w:u w:val="single"/>
          <w:lang w:val="en-US"/>
        </w:rPr>
        <w:t>SRS symbol allocation and SRS starting location</w:t>
      </w:r>
    </w:p>
    <w:p w14:paraId="2BE8C517" w14:textId="02F0DDF1" w:rsidR="00012C5C" w:rsidRDefault="00012C5C" w:rsidP="00012C5C">
      <w:pPr>
        <w:rPr>
          <w:lang w:val="en-US"/>
        </w:rPr>
      </w:pPr>
      <w:r>
        <w:rPr>
          <w:lang w:val="en-US"/>
        </w:rPr>
        <w:t>We propose staggering Comb-6 structure, the number of SRS symbol should be able to</w:t>
      </w:r>
      <w:r w:rsidR="00BA55C3">
        <w:rPr>
          <w:lang w:val="en-US"/>
        </w:rPr>
        <w:t xml:space="preserve"> be</w:t>
      </w:r>
      <w:r>
        <w:rPr>
          <w:lang w:val="en-US"/>
        </w:rPr>
        <w:t xml:space="preserve"> allocate</w:t>
      </w:r>
      <w:r w:rsidR="00BA55C3">
        <w:rPr>
          <w:lang w:val="en-US"/>
        </w:rPr>
        <w:t>d</w:t>
      </w:r>
      <w:r>
        <w:rPr>
          <w:lang w:val="en-US"/>
        </w:rPr>
        <w:t xml:space="preserve"> up to 6 symbol</w:t>
      </w:r>
      <w:r w:rsidR="00BA55C3">
        <w:rPr>
          <w:lang w:val="en-US"/>
        </w:rPr>
        <w:t>s</w:t>
      </w:r>
      <w:r>
        <w:rPr>
          <w:lang w:val="en-US"/>
        </w:rPr>
        <w:t>. Then the next question is where Rel-16 SRS can be allocated</w:t>
      </w:r>
      <w:r w:rsidR="00BA55C3">
        <w:rPr>
          <w:lang w:val="en-US"/>
        </w:rPr>
        <w:t xml:space="preserve"> within a slot</w:t>
      </w:r>
      <w:r>
        <w:rPr>
          <w:lang w:val="en-US"/>
        </w:rPr>
        <w:t>. In the last meeting, there was an agreement to discuss about the symbol allocation as</w:t>
      </w:r>
    </w:p>
    <w:p w14:paraId="1BDDC4B2" w14:textId="77777777" w:rsidR="00012C5C" w:rsidRPr="00F06E10" w:rsidRDefault="00012C5C" w:rsidP="00012C5C">
      <w:pPr>
        <w:rPr>
          <w:i/>
        </w:rPr>
      </w:pPr>
      <w:r>
        <w:rPr>
          <w:i/>
          <w:highlight w:val="green"/>
        </w:rPr>
        <w:t xml:space="preserve">RAN1-96bis </w:t>
      </w:r>
      <w:r w:rsidRPr="00F06E10">
        <w:rPr>
          <w:i/>
          <w:highlight w:val="green"/>
        </w:rPr>
        <w:t>Agreement:</w:t>
      </w:r>
    </w:p>
    <w:p w14:paraId="25CFA321" w14:textId="77777777" w:rsidR="00012C5C" w:rsidRPr="00F06E10" w:rsidRDefault="00012C5C" w:rsidP="00012C5C">
      <w:pPr>
        <w:rPr>
          <w:i/>
        </w:rPr>
      </w:pPr>
      <w:r w:rsidRPr="00F06E10">
        <w:rPr>
          <w:i/>
        </w:rPr>
        <w:t xml:space="preserve">For positioning, regarding the possible SRS symbol locations per slot decide by RAN1#97 whether the SRS can be configured only in the last N symbols of a slot with N&gt;6 </w:t>
      </w:r>
    </w:p>
    <w:p w14:paraId="3F3485F5" w14:textId="58BEB2F7" w:rsidR="000A584E" w:rsidRPr="00F06E10" w:rsidRDefault="00012C5C" w:rsidP="00012C5C">
      <w:pPr>
        <w:numPr>
          <w:ilvl w:val="0"/>
          <w:numId w:val="22"/>
        </w:numPr>
        <w:overflowPunct/>
        <w:autoSpaceDE/>
        <w:autoSpaceDN/>
        <w:adjustRightInd/>
        <w:spacing w:after="0"/>
        <w:textAlignment w:val="auto"/>
        <w:rPr>
          <w:i/>
        </w:rPr>
      </w:pPr>
      <w:r w:rsidRPr="00F06E10">
        <w:rPr>
          <w:i/>
        </w:rPr>
        <w:t>If the above decision is not made by RAN1#97, configuring SRS only in the last N symbols of a slot with N&gt;6 will not be discussed further after RAN1#97.</w:t>
      </w:r>
    </w:p>
    <w:p w14:paraId="280D2B46" w14:textId="77777777" w:rsidR="00012C5C" w:rsidRPr="000A584E" w:rsidRDefault="00012C5C" w:rsidP="007A442B">
      <w:pPr>
        <w:overflowPunct/>
        <w:autoSpaceDE/>
        <w:autoSpaceDN/>
        <w:adjustRightInd/>
        <w:spacing w:after="0"/>
        <w:ind w:left="720"/>
        <w:textAlignment w:val="auto"/>
        <w:rPr>
          <w:lang w:val="en-US"/>
        </w:rPr>
      </w:pPr>
    </w:p>
    <w:p w14:paraId="278EFDE4" w14:textId="18931B0A" w:rsidR="00012C5C" w:rsidRDefault="00012C5C" w:rsidP="00012C5C">
      <w:pPr>
        <w:rPr>
          <w:lang w:val="en-US"/>
        </w:rPr>
      </w:pPr>
      <w:r>
        <w:rPr>
          <w:lang w:val="en-US"/>
        </w:rPr>
        <w:t>The number of symbols is related with the UE capacity in SRS resources. Associated with the comb-structures, we need to review the number of UEs multiplexed in SRS time symbols. From [8], we add more insights in the table.</w:t>
      </w:r>
    </w:p>
    <w:p w14:paraId="33AECF9F" w14:textId="5E810AA6" w:rsidR="00012C5C" w:rsidRDefault="00012C5C" w:rsidP="00012C5C">
      <w:pPr>
        <w:jc w:val="center"/>
        <w:rPr>
          <w:lang w:val="en-US"/>
        </w:rPr>
      </w:pPr>
      <w:r w:rsidRPr="007A442B">
        <w:rPr>
          <w:b/>
          <w:lang w:val="en-US"/>
        </w:rPr>
        <w:t>Table 2</w:t>
      </w:r>
      <w:r>
        <w:rPr>
          <w:lang w:val="en-US"/>
        </w:rPr>
        <w:t>: Number of UE capacity from SRS resource calculation (</w:t>
      </w:r>
      <w:r w:rsidRPr="00AD4A9C">
        <w:rPr>
          <w:b/>
          <w:lang w:val="en-US"/>
        </w:rPr>
        <w:t>omni-directional UE transmission case</w:t>
      </w:r>
      <w:r>
        <w:rPr>
          <w:lang w:val="en-US"/>
        </w:rPr>
        <w:t>).</w:t>
      </w:r>
    </w:p>
    <w:tbl>
      <w:tblPr>
        <w:tblW w:w="9488" w:type="dxa"/>
        <w:tblLook w:val="04A0" w:firstRow="1" w:lastRow="0" w:firstColumn="1" w:lastColumn="0" w:noHBand="0" w:noVBand="1"/>
      </w:tblPr>
      <w:tblGrid>
        <w:gridCol w:w="657"/>
        <w:gridCol w:w="937"/>
        <w:gridCol w:w="1231"/>
        <w:gridCol w:w="1560"/>
        <w:gridCol w:w="1701"/>
        <w:gridCol w:w="1701"/>
        <w:gridCol w:w="1701"/>
      </w:tblGrid>
      <w:tr w:rsidR="00A9149C" w:rsidRPr="0000485A" w14:paraId="092A6BAB" w14:textId="77777777" w:rsidTr="007A442B">
        <w:trPr>
          <w:trHeight w:val="610"/>
        </w:trPr>
        <w:tc>
          <w:tcPr>
            <w:tcW w:w="657" w:type="dxa"/>
            <w:vMerge w:val="restart"/>
            <w:tcBorders>
              <w:top w:val="single" w:sz="8" w:space="0" w:color="auto"/>
              <w:left w:val="single" w:sz="8" w:space="0" w:color="auto"/>
              <w:bottom w:val="nil"/>
              <w:right w:val="single" w:sz="8" w:space="0" w:color="auto"/>
            </w:tcBorders>
            <w:shd w:val="clear" w:color="000000" w:fill="D9E1F2"/>
            <w:vAlign w:val="center"/>
            <w:hideMark/>
          </w:tcPr>
          <w:p w14:paraId="545FDEA7"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Comb</w:t>
            </w:r>
          </w:p>
        </w:tc>
        <w:tc>
          <w:tcPr>
            <w:tcW w:w="937" w:type="dxa"/>
            <w:vMerge w:val="restart"/>
            <w:tcBorders>
              <w:top w:val="single" w:sz="8" w:space="0" w:color="auto"/>
              <w:left w:val="nil"/>
              <w:right w:val="single" w:sz="8" w:space="0" w:color="auto"/>
            </w:tcBorders>
            <w:shd w:val="clear" w:color="000000" w:fill="D9E1F2"/>
            <w:vAlign w:val="center"/>
            <w:hideMark/>
          </w:tcPr>
          <w:p w14:paraId="7CED88FA"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 xml:space="preserve">#Symbols per SRS config </w:t>
            </w:r>
          </w:p>
        </w:tc>
        <w:tc>
          <w:tcPr>
            <w:tcW w:w="1231" w:type="dxa"/>
            <w:vMerge w:val="restart"/>
            <w:tcBorders>
              <w:top w:val="single" w:sz="8" w:space="0" w:color="auto"/>
              <w:left w:val="nil"/>
              <w:right w:val="nil"/>
            </w:tcBorders>
            <w:shd w:val="clear" w:color="000000" w:fill="D9E1F2"/>
            <w:vAlign w:val="center"/>
            <w:hideMark/>
          </w:tcPr>
          <w:p w14:paraId="3FACD6A2"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proofErr w:type="gramStart"/>
            <w:r w:rsidRPr="0000485A">
              <w:rPr>
                <w:rFonts w:eastAsia="Times New Roman"/>
                <w:color w:val="000000"/>
                <w:sz w:val="18"/>
                <w:szCs w:val="18"/>
                <w:lang w:val="en-US" w:eastAsia="ko-KR"/>
              </w:rPr>
              <w:t>Structure</w:t>
            </w:r>
            <w:r>
              <w:rPr>
                <w:rFonts w:eastAsia="Times New Roman"/>
                <w:color w:val="000000"/>
                <w:sz w:val="18"/>
                <w:szCs w:val="18"/>
                <w:lang w:val="en-US" w:eastAsia="ko-KR"/>
              </w:rPr>
              <w:t>s :</w:t>
            </w:r>
            <w:proofErr w:type="gramEnd"/>
          </w:p>
          <w:p w14:paraId="64B2C969" w14:textId="77777777" w:rsidR="00012C5C" w:rsidRDefault="00012C5C" w:rsidP="00BD1E8D">
            <w:pPr>
              <w:spacing w:after="0"/>
              <w:jc w:val="center"/>
              <w:rPr>
                <w:rFonts w:eastAsia="Times New Roman"/>
                <w:color w:val="000000"/>
                <w:sz w:val="18"/>
                <w:szCs w:val="18"/>
                <w:lang w:val="en-US" w:eastAsia="ko-KR"/>
              </w:rPr>
            </w:pPr>
            <w:r>
              <w:rPr>
                <w:rFonts w:eastAsia="Times New Roman"/>
                <w:color w:val="000000"/>
                <w:sz w:val="18"/>
                <w:szCs w:val="18"/>
                <w:lang w:val="en-US" w:eastAsia="ko-KR"/>
              </w:rPr>
              <w:t>(S) Staggered</w:t>
            </w:r>
          </w:p>
          <w:p w14:paraId="39E5A2B4" w14:textId="77777777" w:rsidR="00012C5C" w:rsidRDefault="00012C5C" w:rsidP="00BD1E8D">
            <w:pPr>
              <w:spacing w:after="0"/>
              <w:jc w:val="center"/>
              <w:rPr>
                <w:rFonts w:eastAsia="Times New Roman"/>
                <w:color w:val="000000"/>
                <w:sz w:val="18"/>
                <w:szCs w:val="18"/>
                <w:lang w:val="en-US" w:eastAsia="ko-KR"/>
              </w:rPr>
            </w:pPr>
            <w:r>
              <w:rPr>
                <w:rFonts w:eastAsia="Times New Roman"/>
                <w:color w:val="000000"/>
                <w:sz w:val="18"/>
                <w:szCs w:val="18"/>
                <w:lang w:val="en-US" w:eastAsia="ko-KR"/>
              </w:rPr>
              <w:t>or</w:t>
            </w:r>
          </w:p>
          <w:p w14:paraId="399F99E6" w14:textId="77777777" w:rsidR="00012C5C" w:rsidRPr="0000485A" w:rsidRDefault="00012C5C" w:rsidP="00BD1E8D">
            <w:pPr>
              <w:spacing w:after="0"/>
              <w:jc w:val="center"/>
              <w:rPr>
                <w:rFonts w:eastAsia="Times New Roman"/>
                <w:color w:val="000000"/>
                <w:sz w:val="18"/>
                <w:szCs w:val="18"/>
                <w:lang w:val="en-US" w:eastAsia="ko-KR"/>
              </w:rPr>
            </w:pPr>
            <w:r>
              <w:rPr>
                <w:rFonts w:eastAsia="Times New Roman"/>
                <w:color w:val="000000"/>
                <w:sz w:val="18"/>
                <w:szCs w:val="18"/>
                <w:lang w:val="en-US" w:eastAsia="ko-KR"/>
              </w:rPr>
              <w:t>(X) Repeated</w:t>
            </w:r>
            <w:r w:rsidRPr="0000485A">
              <w:rPr>
                <w:rFonts w:eastAsia="Times New Roman"/>
                <w:color w:val="000000"/>
                <w:sz w:val="18"/>
                <w:szCs w:val="18"/>
                <w:lang w:val="en-US" w:eastAsia="ko-KR"/>
              </w:rPr>
              <w:t> </w:t>
            </w:r>
          </w:p>
        </w:tc>
        <w:tc>
          <w:tcPr>
            <w:tcW w:w="3261" w:type="dxa"/>
            <w:gridSpan w:val="2"/>
            <w:tcBorders>
              <w:top w:val="single" w:sz="8" w:space="0" w:color="auto"/>
              <w:left w:val="single" w:sz="8" w:space="0" w:color="auto"/>
              <w:bottom w:val="single" w:sz="8" w:space="0" w:color="auto"/>
              <w:right w:val="single" w:sz="8" w:space="0" w:color="000000"/>
            </w:tcBorders>
            <w:shd w:val="clear" w:color="000000" w:fill="D9E1F2"/>
            <w:vAlign w:val="center"/>
            <w:hideMark/>
          </w:tcPr>
          <w:p w14:paraId="3ADFE379"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 xml:space="preserve">Maximum number of UEs </w:t>
            </w:r>
            <w:r>
              <w:rPr>
                <w:rFonts w:eastAsia="Times New Roman"/>
                <w:color w:val="000000"/>
                <w:sz w:val="18"/>
                <w:szCs w:val="18"/>
                <w:lang w:val="en-US" w:eastAsia="ko-KR"/>
              </w:rPr>
              <w:br/>
            </w:r>
            <w:r w:rsidRPr="0000485A">
              <w:rPr>
                <w:rFonts w:eastAsia="Times New Roman"/>
                <w:color w:val="000000"/>
                <w:sz w:val="18"/>
                <w:szCs w:val="18"/>
                <w:lang w:val="en-US" w:eastAsia="ko-KR"/>
              </w:rPr>
              <w:t>per a slot schedule</w:t>
            </w:r>
          </w:p>
        </w:tc>
        <w:tc>
          <w:tcPr>
            <w:tcW w:w="3402" w:type="dxa"/>
            <w:gridSpan w:val="2"/>
            <w:tcBorders>
              <w:top w:val="single" w:sz="8" w:space="0" w:color="auto"/>
              <w:left w:val="nil"/>
              <w:bottom w:val="single" w:sz="8" w:space="0" w:color="auto"/>
              <w:right w:val="single" w:sz="8" w:space="0" w:color="000000"/>
            </w:tcBorders>
            <w:shd w:val="clear" w:color="000000" w:fill="D9E1F2"/>
            <w:vAlign w:val="bottom"/>
            <w:hideMark/>
          </w:tcPr>
          <w:p w14:paraId="3A266768" w14:textId="794A4910" w:rsidR="00012C5C" w:rsidRPr="00AD4A9C" w:rsidRDefault="00012C5C" w:rsidP="00BD1E8D">
            <w:pPr>
              <w:overflowPunct/>
              <w:autoSpaceDE/>
              <w:autoSpaceDN/>
              <w:adjustRightInd/>
              <w:spacing w:after="0"/>
              <w:textAlignment w:val="auto"/>
              <w:rPr>
                <w:sz w:val="16"/>
                <w:szCs w:val="16"/>
                <w:lang w:val="en-US"/>
              </w:rPr>
            </w:pPr>
            <w:r>
              <w:rPr>
                <w:rFonts w:eastAsia="Times New Roman"/>
                <w:color w:val="000000"/>
                <w:sz w:val="18"/>
                <w:szCs w:val="18"/>
                <w:lang w:val="en-US" w:eastAsia="ko-KR"/>
              </w:rPr>
              <w:t xml:space="preserve">  </w:t>
            </w:r>
            <w:r w:rsidRPr="0000485A">
              <w:rPr>
                <w:rFonts w:eastAsia="Times New Roman"/>
                <w:color w:val="000000"/>
                <w:sz w:val="18"/>
                <w:szCs w:val="18"/>
                <w:lang w:val="en-US" w:eastAsia="ko-KR"/>
              </w:rPr>
              <w:t>Max number of UEs by CS multiplexing</w:t>
            </w:r>
            <w:r w:rsidRPr="0000485A">
              <w:rPr>
                <w:rFonts w:eastAsia="Times New Roman"/>
                <w:color w:val="000000"/>
                <w:sz w:val="18"/>
                <w:szCs w:val="18"/>
                <w:lang w:val="en-US" w:eastAsia="ko-KR"/>
              </w:rPr>
              <w:br/>
            </w:r>
            <w:r>
              <w:rPr>
                <w:sz w:val="16"/>
                <w:szCs w:val="16"/>
                <w:lang w:val="en-US"/>
              </w:rPr>
              <w:t xml:space="preserve">- </w:t>
            </w:r>
            <w:r w:rsidRPr="00AD4A9C">
              <w:rPr>
                <w:sz w:val="16"/>
                <w:szCs w:val="16"/>
                <w:lang w:val="en-US"/>
              </w:rPr>
              <w:t>12</w:t>
            </w:r>
            <w:r w:rsidR="000A584E">
              <w:rPr>
                <w:sz w:val="16"/>
                <w:szCs w:val="16"/>
                <w:lang w:val="en-US"/>
              </w:rPr>
              <w:t xml:space="preserve"> </w:t>
            </w:r>
            <w:r w:rsidRPr="00AD4A9C">
              <w:rPr>
                <w:sz w:val="16"/>
                <w:szCs w:val="16"/>
                <w:lang w:val="en-US"/>
              </w:rPr>
              <w:t>CS for Comb-4 and 8</w:t>
            </w:r>
            <w:r w:rsidR="000A584E">
              <w:rPr>
                <w:sz w:val="16"/>
                <w:szCs w:val="16"/>
                <w:lang w:val="en-US"/>
              </w:rPr>
              <w:t xml:space="preserve"> </w:t>
            </w:r>
            <w:r w:rsidRPr="00AD4A9C">
              <w:rPr>
                <w:sz w:val="16"/>
                <w:szCs w:val="16"/>
                <w:lang w:val="en-US"/>
              </w:rPr>
              <w:t>CS for Comb-2.</w:t>
            </w:r>
          </w:p>
          <w:p w14:paraId="6E59E170" w14:textId="77777777" w:rsidR="00012C5C" w:rsidRPr="00AD4A9C" w:rsidRDefault="00012C5C" w:rsidP="00BD1E8D">
            <w:pPr>
              <w:overflowPunct/>
              <w:autoSpaceDE/>
              <w:autoSpaceDN/>
              <w:adjustRightInd/>
              <w:spacing w:after="0"/>
              <w:textAlignment w:val="auto"/>
              <w:rPr>
                <w:rFonts w:eastAsia="Times New Roman"/>
                <w:color w:val="000000"/>
                <w:sz w:val="18"/>
                <w:szCs w:val="18"/>
                <w:lang w:val="en-US" w:eastAsia="ko-KR"/>
              </w:rPr>
            </w:pPr>
            <w:r>
              <w:rPr>
                <w:sz w:val="16"/>
                <w:szCs w:val="16"/>
                <w:lang w:val="en-US"/>
              </w:rPr>
              <w:t>- [</w:t>
            </w:r>
            <w:r w:rsidRPr="00AD4A9C">
              <w:rPr>
                <w:sz w:val="16"/>
                <w:szCs w:val="16"/>
                <w:lang w:val="en-US"/>
              </w:rPr>
              <w:t>12 CS</w:t>
            </w:r>
            <w:r>
              <w:rPr>
                <w:sz w:val="16"/>
                <w:szCs w:val="16"/>
                <w:lang w:val="en-US"/>
              </w:rPr>
              <w:t>]</w:t>
            </w:r>
            <w:r w:rsidRPr="00AD4A9C">
              <w:rPr>
                <w:sz w:val="16"/>
                <w:szCs w:val="16"/>
                <w:lang w:val="en-US"/>
              </w:rPr>
              <w:t xml:space="preserve"> is assumed for Comb-6 and Comb-12</w:t>
            </w:r>
            <w:r>
              <w:rPr>
                <w:sz w:val="16"/>
                <w:szCs w:val="16"/>
                <w:lang w:val="en-US"/>
              </w:rPr>
              <w:t>.</w:t>
            </w:r>
          </w:p>
        </w:tc>
      </w:tr>
      <w:tr w:rsidR="00A9149C" w:rsidRPr="0000485A" w14:paraId="2B9706C0" w14:textId="77777777" w:rsidTr="007A442B">
        <w:trPr>
          <w:trHeight w:val="407"/>
        </w:trPr>
        <w:tc>
          <w:tcPr>
            <w:tcW w:w="657" w:type="dxa"/>
            <w:vMerge/>
            <w:tcBorders>
              <w:top w:val="single" w:sz="8" w:space="0" w:color="auto"/>
              <w:left w:val="single" w:sz="8" w:space="0" w:color="auto"/>
              <w:bottom w:val="nil"/>
              <w:right w:val="single" w:sz="8" w:space="0" w:color="auto"/>
            </w:tcBorders>
            <w:vAlign w:val="center"/>
            <w:hideMark/>
          </w:tcPr>
          <w:p w14:paraId="3B713AD7" w14:textId="77777777" w:rsidR="00012C5C" w:rsidRPr="0000485A" w:rsidRDefault="00012C5C" w:rsidP="00BD1E8D">
            <w:pPr>
              <w:overflowPunct/>
              <w:autoSpaceDE/>
              <w:autoSpaceDN/>
              <w:adjustRightInd/>
              <w:spacing w:after="0"/>
              <w:textAlignment w:val="auto"/>
              <w:rPr>
                <w:rFonts w:eastAsia="Times New Roman"/>
                <w:color w:val="000000"/>
                <w:sz w:val="18"/>
                <w:szCs w:val="18"/>
                <w:lang w:val="en-US" w:eastAsia="ko-KR"/>
              </w:rPr>
            </w:pPr>
          </w:p>
        </w:tc>
        <w:tc>
          <w:tcPr>
            <w:tcW w:w="937" w:type="dxa"/>
            <w:vMerge/>
            <w:tcBorders>
              <w:left w:val="nil"/>
              <w:bottom w:val="nil"/>
              <w:right w:val="single" w:sz="8" w:space="0" w:color="auto"/>
            </w:tcBorders>
            <w:shd w:val="clear" w:color="000000" w:fill="D9E1F2"/>
            <w:vAlign w:val="center"/>
            <w:hideMark/>
          </w:tcPr>
          <w:p w14:paraId="01EB1B08"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p>
        </w:tc>
        <w:tc>
          <w:tcPr>
            <w:tcW w:w="1231" w:type="dxa"/>
            <w:vMerge/>
            <w:tcBorders>
              <w:left w:val="nil"/>
              <w:bottom w:val="nil"/>
              <w:right w:val="single" w:sz="8" w:space="0" w:color="auto"/>
            </w:tcBorders>
            <w:shd w:val="clear" w:color="000000" w:fill="D9E1F2"/>
            <w:vAlign w:val="center"/>
            <w:hideMark/>
          </w:tcPr>
          <w:p w14:paraId="3378BBFA"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p>
        </w:tc>
        <w:tc>
          <w:tcPr>
            <w:tcW w:w="1560" w:type="dxa"/>
            <w:tcBorders>
              <w:top w:val="nil"/>
              <w:left w:val="nil"/>
              <w:bottom w:val="single" w:sz="8" w:space="0" w:color="auto"/>
              <w:right w:val="single" w:sz="8" w:space="0" w:color="auto"/>
            </w:tcBorders>
            <w:shd w:val="clear" w:color="000000" w:fill="D9E1F2"/>
            <w:vAlign w:val="center"/>
            <w:hideMark/>
          </w:tcPr>
          <w:p w14:paraId="39D036E5" w14:textId="17826F1A"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Last 6 OFDM symbols used</w:t>
            </w:r>
          </w:p>
        </w:tc>
        <w:tc>
          <w:tcPr>
            <w:tcW w:w="1701" w:type="dxa"/>
            <w:tcBorders>
              <w:top w:val="nil"/>
              <w:left w:val="nil"/>
              <w:bottom w:val="single" w:sz="8" w:space="0" w:color="auto"/>
              <w:right w:val="single" w:sz="8" w:space="0" w:color="auto"/>
            </w:tcBorders>
            <w:shd w:val="clear" w:color="000000" w:fill="D9E1F2"/>
            <w:vAlign w:val="center"/>
            <w:hideMark/>
          </w:tcPr>
          <w:p w14:paraId="03D6CE34"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Last 12 OFDM symbol can be used</w:t>
            </w:r>
          </w:p>
        </w:tc>
        <w:tc>
          <w:tcPr>
            <w:tcW w:w="1701" w:type="dxa"/>
            <w:tcBorders>
              <w:top w:val="nil"/>
              <w:left w:val="nil"/>
              <w:bottom w:val="single" w:sz="8" w:space="0" w:color="auto"/>
              <w:right w:val="single" w:sz="8" w:space="0" w:color="auto"/>
            </w:tcBorders>
            <w:shd w:val="clear" w:color="000000" w:fill="D9E1F2"/>
            <w:vAlign w:val="center"/>
            <w:hideMark/>
          </w:tcPr>
          <w:p w14:paraId="62B160A7"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Last 6 OFDM symbols can be used</w:t>
            </w:r>
          </w:p>
        </w:tc>
        <w:tc>
          <w:tcPr>
            <w:tcW w:w="1701" w:type="dxa"/>
            <w:tcBorders>
              <w:top w:val="nil"/>
              <w:left w:val="nil"/>
              <w:bottom w:val="single" w:sz="8" w:space="0" w:color="auto"/>
              <w:right w:val="single" w:sz="8" w:space="0" w:color="auto"/>
            </w:tcBorders>
            <w:shd w:val="clear" w:color="000000" w:fill="D9E1F2"/>
            <w:vAlign w:val="center"/>
            <w:hideMark/>
          </w:tcPr>
          <w:p w14:paraId="49D5D69C"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Last 12 OFDM symbol can be used</w:t>
            </w:r>
          </w:p>
        </w:tc>
      </w:tr>
      <w:tr w:rsidR="00A9149C" w:rsidRPr="0000485A" w14:paraId="112C0459" w14:textId="77777777" w:rsidTr="00A9149C">
        <w:trPr>
          <w:trHeight w:val="290"/>
        </w:trPr>
        <w:tc>
          <w:tcPr>
            <w:tcW w:w="6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AB2B0"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55D5F9F4"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1</w:t>
            </w:r>
          </w:p>
        </w:tc>
        <w:tc>
          <w:tcPr>
            <w:tcW w:w="1231" w:type="dxa"/>
            <w:tcBorders>
              <w:top w:val="single" w:sz="4" w:space="0" w:color="auto"/>
              <w:left w:val="nil"/>
              <w:bottom w:val="single" w:sz="4" w:space="0" w:color="auto"/>
              <w:right w:val="single" w:sz="4" w:space="0" w:color="auto"/>
            </w:tcBorders>
            <w:shd w:val="clear" w:color="auto" w:fill="auto"/>
            <w:vAlign w:val="center"/>
            <w:hideMark/>
          </w:tcPr>
          <w:p w14:paraId="0CE2F4B0"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Single</w:t>
            </w:r>
          </w:p>
        </w:tc>
        <w:tc>
          <w:tcPr>
            <w:tcW w:w="1560" w:type="dxa"/>
            <w:tcBorders>
              <w:top w:val="nil"/>
              <w:left w:val="nil"/>
              <w:bottom w:val="single" w:sz="4" w:space="0" w:color="auto"/>
              <w:right w:val="single" w:sz="4" w:space="0" w:color="auto"/>
            </w:tcBorders>
            <w:shd w:val="clear" w:color="auto" w:fill="auto"/>
            <w:vAlign w:val="center"/>
            <w:hideMark/>
          </w:tcPr>
          <w:p w14:paraId="79D1BEC1"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12</w:t>
            </w:r>
          </w:p>
        </w:tc>
        <w:tc>
          <w:tcPr>
            <w:tcW w:w="1701" w:type="dxa"/>
            <w:tcBorders>
              <w:top w:val="nil"/>
              <w:left w:val="nil"/>
              <w:bottom w:val="single" w:sz="4" w:space="0" w:color="auto"/>
              <w:right w:val="single" w:sz="4" w:space="0" w:color="auto"/>
            </w:tcBorders>
            <w:shd w:val="clear" w:color="auto" w:fill="auto"/>
            <w:vAlign w:val="center"/>
            <w:hideMark/>
          </w:tcPr>
          <w:p w14:paraId="7E8FE281"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24</w:t>
            </w:r>
          </w:p>
        </w:tc>
        <w:tc>
          <w:tcPr>
            <w:tcW w:w="1701" w:type="dxa"/>
            <w:tcBorders>
              <w:top w:val="nil"/>
              <w:left w:val="nil"/>
              <w:bottom w:val="single" w:sz="4" w:space="0" w:color="auto"/>
              <w:right w:val="single" w:sz="4" w:space="0" w:color="auto"/>
            </w:tcBorders>
            <w:shd w:val="clear" w:color="auto" w:fill="auto"/>
            <w:noWrap/>
            <w:vAlign w:val="bottom"/>
            <w:hideMark/>
          </w:tcPr>
          <w:p w14:paraId="70F15A62" w14:textId="77777777" w:rsidR="00012C5C" w:rsidRPr="00AD4A9C" w:rsidRDefault="00012C5C" w:rsidP="00BD1E8D">
            <w:pPr>
              <w:overflowPunct/>
              <w:autoSpaceDE/>
              <w:autoSpaceDN/>
              <w:adjustRightInd/>
              <w:spacing w:after="0"/>
              <w:jc w:val="right"/>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96</w:t>
            </w:r>
          </w:p>
        </w:tc>
        <w:tc>
          <w:tcPr>
            <w:tcW w:w="1701" w:type="dxa"/>
            <w:tcBorders>
              <w:top w:val="nil"/>
              <w:left w:val="nil"/>
              <w:bottom w:val="single" w:sz="4" w:space="0" w:color="auto"/>
              <w:right w:val="single" w:sz="4" w:space="0" w:color="auto"/>
            </w:tcBorders>
            <w:shd w:val="clear" w:color="auto" w:fill="auto"/>
            <w:noWrap/>
            <w:vAlign w:val="bottom"/>
            <w:hideMark/>
          </w:tcPr>
          <w:p w14:paraId="7625549D"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sidRPr="00AD4A9C">
              <w:rPr>
                <w:rFonts w:eastAsia="Times New Roman"/>
                <w:color w:val="000000"/>
                <w:sz w:val="18"/>
                <w:szCs w:val="18"/>
                <w:lang w:val="en-US" w:eastAsia="ko-KR"/>
              </w:rPr>
              <w:t>192</w:t>
            </w:r>
          </w:p>
        </w:tc>
      </w:tr>
      <w:tr w:rsidR="00A9149C" w:rsidRPr="0000485A" w14:paraId="391B6550" w14:textId="77777777" w:rsidTr="00A9149C">
        <w:trPr>
          <w:trHeight w:val="290"/>
        </w:trPr>
        <w:tc>
          <w:tcPr>
            <w:tcW w:w="657" w:type="dxa"/>
            <w:tcBorders>
              <w:top w:val="nil"/>
              <w:left w:val="single" w:sz="4" w:space="0" w:color="auto"/>
              <w:bottom w:val="single" w:sz="4" w:space="0" w:color="auto"/>
              <w:right w:val="single" w:sz="4" w:space="0" w:color="auto"/>
            </w:tcBorders>
            <w:shd w:val="clear" w:color="auto" w:fill="auto"/>
            <w:vAlign w:val="center"/>
            <w:hideMark/>
          </w:tcPr>
          <w:p w14:paraId="60AF80CE"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4</w:t>
            </w:r>
          </w:p>
        </w:tc>
        <w:tc>
          <w:tcPr>
            <w:tcW w:w="937" w:type="dxa"/>
            <w:tcBorders>
              <w:top w:val="nil"/>
              <w:left w:val="nil"/>
              <w:bottom w:val="single" w:sz="4" w:space="0" w:color="auto"/>
              <w:right w:val="single" w:sz="4" w:space="0" w:color="auto"/>
            </w:tcBorders>
            <w:shd w:val="clear" w:color="auto" w:fill="auto"/>
            <w:vAlign w:val="center"/>
            <w:hideMark/>
          </w:tcPr>
          <w:p w14:paraId="47ED3AB3"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1</w:t>
            </w:r>
          </w:p>
        </w:tc>
        <w:tc>
          <w:tcPr>
            <w:tcW w:w="1231" w:type="dxa"/>
            <w:tcBorders>
              <w:top w:val="nil"/>
              <w:left w:val="nil"/>
              <w:bottom w:val="single" w:sz="4" w:space="0" w:color="auto"/>
              <w:right w:val="single" w:sz="4" w:space="0" w:color="auto"/>
            </w:tcBorders>
            <w:shd w:val="clear" w:color="auto" w:fill="auto"/>
            <w:vAlign w:val="center"/>
            <w:hideMark/>
          </w:tcPr>
          <w:p w14:paraId="72F1B306"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Single</w:t>
            </w:r>
          </w:p>
        </w:tc>
        <w:tc>
          <w:tcPr>
            <w:tcW w:w="1560" w:type="dxa"/>
            <w:tcBorders>
              <w:top w:val="nil"/>
              <w:left w:val="nil"/>
              <w:bottom w:val="single" w:sz="4" w:space="0" w:color="auto"/>
              <w:right w:val="single" w:sz="4" w:space="0" w:color="auto"/>
            </w:tcBorders>
            <w:shd w:val="clear" w:color="auto" w:fill="auto"/>
            <w:vAlign w:val="center"/>
            <w:hideMark/>
          </w:tcPr>
          <w:p w14:paraId="3D6DF0C1"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24</w:t>
            </w:r>
          </w:p>
        </w:tc>
        <w:tc>
          <w:tcPr>
            <w:tcW w:w="1701" w:type="dxa"/>
            <w:tcBorders>
              <w:top w:val="nil"/>
              <w:left w:val="nil"/>
              <w:bottom w:val="single" w:sz="4" w:space="0" w:color="auto"/>
              <w:right w:val="single" w:sz="4" w:space="0" w:color="auto"/>
            </w:tcBorders>
            <w:shd w:val="clear" w:color="auto" w:fill="auto"/>
            <w:vAlign w:val="center"/>
            <w:hideMark/>
          </w:tcPr>
          <w:p w14:paraId="3DB9F474"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48</w:t>
            </w:r>
          </w:p>
        </w:tc>
        <w:tc>
          <w:tcPr>
            <w:tcW w:w="1701" w:type="dxa"/>
            <w:tcBorders>
              <w:top w:val="nil"/>
              <w:left w:val="nil"/>
              <w:bottom w:val="single" w:sz="4" w:space="0" w:color="auto"/>
              <w:right w:val="single" w:sz="4" w:space="0" w:color="auto"/>
            </w:tcBorders>
            <w:shd w:val="clear" w:color="auto" w:fill="auto"/>
            <w:noWrap/>
            <w:vAlign w:val="bottom"/>
            <w:hideMark/>
          </w:tcPr>
          <w:p w14:paraId="21E3E5E7" w14:textId="77777777" w:rsidR="00012C5C" w:rsidRPr="00AD4A9C" w:rsidRDefault="00012C5C" w:rsidP="00BD1E8D">
            <w:pPr>
              <w:overflowPunct/>
              <w:autoSpaceDE/>
              <w:autoSpaceDN/>
              <w:adjustRightInd/>
              <w:spacing w:after="0"/>
              <w:jc w:val="right"/>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288</w:t>
            </w:r>
          </w:p>
        </w:tc>
        <w:tc>
          <w:tcPr>
            <w:tcW w:w="1701" w:type="dxa"/>
            <w:tcBorders>
              <w:top w:val="nil"/>
              <w:left w:val="nil"/>
              <w:bottom w:val="single" w:sz="4" w:space="0" w:color="auto"/>
              <w:right w:val="single" w:sz="4" w:space="0" w:color="auto"/>
            </w:tcBorders>
            <w:shd w:val="clear" w:color="auto" w:fill="auto"/>
            <w:noWrap/>
            <w:vAlign w:val="bottom"/>
            <w:hideMark/>
          </w:tcPr>
          <w:p w14:paraId="3EF787A4"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sidRPr="00AD4A9C">
              <w:rPr>
                <w:rFonts w:eastAsia="Times New Roman"/>
                <w:color w:val="000000"/>
                <w:sz w:val="18"/>
                <w:szCs w:val="18"/>
                <w:lang w:val="en-US" w:eastAsia="ko-KR"/>
              </w:rPr>
              <w:t>576</w:t>
            </w:r>
          </w:p>
        </w:tc>
      </w:tr>
      <w:tr w:rsidR="00A9149C" w:rsidRPr="0000485A" w14:paraId="12A8D0FA" w14:textId="77777777" w:rsidTr="00A9149C">
        <w:trPr>
          <w:trHeight w:val="290"/>
        </w:trPr>
        <w:tc>
          <w:tcPr>
            <w:tcW w:w="657" w:type="dxa"/>
            <w:tcBorders>
              <w:top w:val="nil"/>
              <w:left w:val="single" w:sz="4" w:space="0" w:color="auto"/>
              <w:bottom w:val="single" w:sz="4" w:space="0" w:color="auto"/>
              <w:right w:val="single" w:sz="4" w:space="0" w:color="auto"/>
            </w:tcBorders>
            <w:shd w:val="clear" w:color="auto" w:fill="auto"/>
            <w:vAlign w:val="center"/>
            <w:hideMark/>
          </w:tcPr>
          <w:p w14:paraId="6B0A7385"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6</w:t>
            </w:r>
          </w:p>
        </w:tc>
        <w:tc>
          <w:tcPr>
            <w:tcW w:w="937" w:type="dxa"/>
            <w:tcBorders>
              <w:top w:val="nil"/>
              <w:left w:val="nil"/>
              <w:bottom w:val="single" w:sz="4" w:space="0" w:color="auto"/>
              <w:right w:val="single" w:sz="4" w:space="0" w:color="auto"/>
            </w:tcBorders>
            <w:shd w:val="clear" w:color="auto" w:fill="auto"/>
            <w:vAlign w:val="center"/>
            <w:hideMark/>
          </w:tcPr>
          <w:p w14:paraId="0AFE9DC5"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1</w:t>
            </w:r>
          </w:p>
        </w:tc>
        <w:tc>
          <w:tcPr>
            <w:tcW w:w="1231" w:type="dxa"/>
            <w:tcBorders>
              <w:top w:val="nil"/>
              <w:left w:val="nil"/>
              <w:bottom w:val="single" w:sz="4" w:space="0" w:color="auto"/>
              <w:right w:val="single" w:sz="4" w:space="0" w:color="auto"/>
            </w:tcBorders>
            <w:shd w:val="clear" w:color="auto" w:fill="auto"/>
            <w:vAlign w:val="center"/>
            <w:hideMark/>
          </w:tcPr>
          <w:p w14:paraId="64F74A22"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Single</w:t>
            </w:r>
          </w:p>
        </w:tc>
        <w:tc>
          <w:tcPr>
            <w:tcW w:w="1560" w:type="dxa"/>
            <w:tcBorders>
              <w:top w:val="nil"/>
              <w:left w:val="nil"/>
              <w:bottom w:val="single" w:sz="4" w:space="0" w:color="auto"/>
              <w:right w:val="single" w:sz="4" w:space="0" w:color="auto"/>
            </w:tcBorders>
            <w:shd w:val="clear" w:color="auto" w:fill="auto"/>
            <w:vAlign w:val="center"/>
            <w:hideMark/>
          </w:tcPr>
          <w:p w14:paraId="7DE3E3B3"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36</w:t>
            </w:r>
          </w:p>
        </w:tc>
        <w:tc>
          <w:tcPr>
            <w:tcW w:w="1701" w:type="dxa"/>
            <w:tcBorders>
              <w:top w:val="nil"/>
              <w:left w:val="nil"/>
              <w:bottom w:val="single" w:sz="4" w:space="0" w:color="auto"/>
              <w:right w:val="single" w:sz="4" w:space="0" w:color="auto"/>
            </w:tcBorders>
            <w:shd w:val="clear" w:color="auto" w:fill="auto"/>
            <w:vAlign w:val="center"/>
            <w:hideMark/>
          </w:tcPr>
          <w:p w14:paraId="2AA332B4"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72</w:t>
            </w:r>
          </w:p>
        </w:tc>
        <w:tc>
          <w:tcPr>
            <w:tcW w:w="1701" w:type="dxa"/>
            <w:tcBorders>
              <w:top w:val="nil"/>
              <w:left w:val="nil"/>
              <w:bottom w:val="single" w:sz="4" w:space="0" w:color="auto"/>
              <w:right w:val="single" w:sz="4" w:space="0" w:color="auto"/>
            </w:tcBorders>
            <w:shd w:val="clear" w:color="auto" w:fill="auto"/>
            <w:noWrap/>
            <w:vAlign w:val="bottom"/>
            <w:hideMark/>
          </w:tcPr>
          <w:p w14:paraId="51DCF3CA"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432</w:t>
            </w:r>
            <w:r>
              <w:rPr>
                <w:rFonts w:eastAsia="Times New Roman"/>
                <w:color w:val="000000"/>
                <w:sz w:val="18"/>
                <w:szCs w:val="18"/>
                <w:lang w:val="en-US" w:eastAsia="ko-KR"/>
              </w:rPr>
              <w:t>]</w:t>
            </w:r>
          </w:p>
        </w:tc>
        <w:tc>
          <w:tcPr>
            <w:tcW w:w="1701" w:type="dxa"/>
            <w:tcBorders>
              <w:top w:val="nil"/>
              <w:left w:val="nil"/>
              <w:bottom w:val="single" w:sz="4" w:space="0" w:color="auto"/>
              <w:right w:val="single" w:sz="4" w:space="0" w:color="auto"/>
            </w:tcBorders>
            <w:shd w:val="clear" w:color="auto" w:fill="auto"/>
            <w:noWrap/>
            <w:vAlign w:val="bottom"/>
            <w:hideMark/>
          </w:tcPr>
          <w:p w14:paraId="24816267"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864</w:t>
            </w:r>
            <w:r>
              <w:rPr>
                <w:rFonts w:eastAsia="Times New Roman"/>
                <w:color w:val="000000"/>
                <w:sz w:val="18"/>
                <w:szCs w:val="18"/>
                <w:lang w:val="en-US" w:eastAsia="ko-KR"/>
              </w:rPr>
              <w:t>]</w:t>
            </w:r>
          </w:p>
        </w:tc>
      </w:tr>
      <w:tr w:rsidR="00A9149C" w:rsidRPr="0000485A" w14:paraId="39CE9D2B" w14:textId="77777777" w:rsidTr="00A9149C">
        <w:trPr>
          <w:trHeight w:val="290"/>
        </w:trPr>
        <w:tc>
          <w:tcPr>
            <w:tcW w:w="657" w:type="dxa"/>
            <w:tcBorders>
              <w:top w:val="nil"/>
              <w:left w:val="single" w:sz="4" w:space="0" w:color="auto"/>
              <w:bottom w:val="single" w:sz="4" w:space="0" w:color="auto"/>
              <w:right w:val="single" w:sz="4" w:space="0" w:color="auto"/>
            </w:tcBorders>
            <w:shd w:val="clear" w:color="auto" w:fill="auto"/>
            <w:vAlign w:val="center"/>
            <w:hideMark/>
          </w:tcPr>
          <w:p w14:paraId="7165CC34"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12</w:t>
            </w:r>
          </w:p>
        </w:tc>
        <w:tc>
          <w:tcPr>
            <w:tcW w:w="937" w:type="dxa"/>
            <w:tcBorders>
              <w:top w:val="nil"/>
              <w:left w:val="nil"/>
              <w:bottom w:val="single" w:sz="4" w:space="0" w:color="auto"/>
              <w:right w:val="single" w:sz="4" w:space="0" w:color="auto"/>
            </w:tcBorders>
            <w:shd w:val="clear" w:color="auto" w:fill="auto"/>
            <w:vAlign w:val="center"/>
            <w:hideMark/>
          </w:tcPr>
          <w:p w14:paraId="6957C85F"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1</w:t>
            </w:r>
          </w:p>
        </w:tc>
        <w:tc>
          <w:tcPr>
            <w:tcW w:w="1231" w:type="dxa"/>
            <w:tcBorders>
              <w:top w:val="nil"/>
              <w:left w:val="nil"/>
              <w:bottom w:val="single" w:sz="4" w:space="0" w:color="auto"/>
              <w:right w:val="single" w:sz="4" w:space="0" w:color="auto"/>
            </w:tcBorders>
            <w:shd w:val="clear" w:color="auto" w:fill="auto"/>
            <w:vAlign w:val="center"/>
            <w:hideMark/>
          </w:tcPr>
          <w:p w14:paraId="67AECA7D"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Single</w:t>
            </w:r>
          </w:p>
        </w:tc>
        <w:tc>
          <w:tcPr>
            <w:tcW w:w="1560" w:type="dxa"/>
            <w:tcBorders>
              <w:top w:val="nil"/>
              <w:left w:val="nil"/>
              <w:bottom w:val="single" w:sz="4" w:space="0" w:color="auto"/>
              <w:right w:val="single" w:sz="4" w:space="0" w:color="auto"/>
            </w:tcBorders>
            <w:shd w:val="clear" w:color="auto" w:fill="auto"/>
            <w:vAlign w:val="center"/>
            <w:hideMark/>
          </w:tcPr>
          <w:p w14:paraId="379AFF6B"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72</w:t>
            </w:r>
          </w:p>
        </w:tc>
        <w:tc>
          <w:tcPr>
            <w:tcW w:w="1701" w:type="dxa"/>
            <w:tcBorders>
              <w:top w:val="nil"/>
              <w:left w:val="nil"/>
              <w:bottom w:val="single" w:sz="4" w:space="0" w:color="auto"/>
              <w:right w:val="single" w:sz="4" w:space="0" w:color="auto"/>
            </w:tcBorders>
            <w:shd w:val="clear" w:color="auto" w:fill="auto"/>
            <w:vAlign w:val="center"/>
            <w:hideMark/>
          </w:tcPr>
          <w:p w14:paraId="504575D3"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144</w:t>
            </w:r>
          </w:p>
        </w:tc>
        <w:tc>
          <w:tcPr>
            <w:tcW w:w="1701" w:type="dxa"/>
            <w:tcBorders>
              <w:top w:val="nil"/>
              <w:left w:val="nil"/>
              <w:bottom w:val="single" w:sz="4" w:space="0" w:color="auto"/>
              <w:right w:val="single" w:sz="4" w:space="0" w:color="auto"/>
            </w:tcBorders>
            <w:shd w:val="clear" w:color="auto" w:fill="auto"/>
            <w:noWrap/>
            <w:vAlign w:val="bottom"/>
            <w:hideMark/>
          </w:tcPr>
          <w:p w14:paraId="13C60436"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864</w:t>
            </w:r>
            <w:r>
              <w:rPr>
                <w:rFonts w:eastAsia="Times New Roman"/>
                <w:color w:val="000000"/>
                <w:sz w:val="18"/>
                <w:szCs w:val="18"/>
                <w:lang w:val="en-US" w:eastAsia="ko-KR"/>
              </w:rPr>
              <w:t>]</w:t>
            </w:r>
          </w:p>
        </w:tc>
        <w:tc>
          <w:tcPr>
            <w:tcW w:w="1701" w:type="dxa"/>
            <w:tcBorders>
              <w:top w:val="nil"/>
              <w:left w:val="nil"/>
              <w:bottom w:val="single" w:sz="4" w:space="0" w:color="auto"/>
              <w:right w:val="single" w:sz="4" w:space="0" w:color="auto"/>
            </w:tcBorders>
            <w:shd w:val="clear" w:color="auto" w:fill="auto"/>
            <w:noWrap/>
            <w:vAlign w:val="bottom"/>
            <w:hideMark/>
          </w:tcPr>
          <w:p w14:paraId="2E9C35F4"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1728</w:t>
            </w:r>
            <w:r>
              <w:rPr>
                <w:rFonts w:eastAsia="Times New Roman"/>
                <w:color w:val="000000"/>
                <w:sz w:val="18"/>
                <w:szCs w:val="18"/>
                <w:lang w:val="en-US" w:eastAsia="ko-KR"/>
              </w:rPr>
              <w:t>]</w:t>
            </w:r>
          </w:p>
        </w:tc>
      </w:tr>
      <w:tr w:rsidR="00A9149C" w:rsidRPr="0000485A" w14:paraId="7F2DB122" w14:textId="77777777" w:rsidTr="00A9149C">
        <w:trPr>
          <w:trHeight w:val="290"/>
        </w:trPr>
        <w:tc>
          <w:tcPr>
            <w:tcW w:w="657" w:type="dxa"/>
            <w:tcBorders>
              <w:top w:val="nil"/>
              <w:left w:val="single" w:sz="4" w:space="0" w:color="auto"/>
              <w:bottom w:val="single" w:sz="4" w:space="0" w:color="auto"/>
              <w:right w:val="single" w:sz="4" w:space="0" w:color="auto"/>
            </w:tcBorders>
            <w:shd w:val="clear" w:color="auto" w:fill="auto"/>
            <w:vAlign w:val="center"/>
            <w:hideMark/>
          </w:tcPr>
          <w:p w14:paraId="4670580E"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2</w:t>
            </w:r>
          </w:p>
        </w:tc>
        <w:tc>
          <w:tcPr>
            <w:tcW w:w="937" w:type="dxa"/>
            <w:tcBorders>
              <w:top w:val="nil"/>
              <w:left w:val="nil"/>
              <w:bottom w:val="single" w:sz="4" w:space="0" w:color="auto"/>
              <w:right w:val="single" w:sz="4" w:space="0" w:color="auto"/>
            </w:tcBorders>
            <w:shd w:val="clear" w:color="auto" w:fill="auto"/>
            <w:vAlign w:val="center"/>
            <w:hideMark/>
          </w:tcPr>
          <w:p w14:paraId="5EEEFE54"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2</w:t>
            </w:r>
          </w:p>
        </w:tc>
        <w:tc>
          <w:tcPr>
            <w:tcW w:w="1231" w:type="dxa"/>
            <w:tcBorders>
              <w:top w:val="nil"/>
              <w:left w:val="nil"/>
              <w:bottom w:val="single" w:sz="4" w:space="0" w:color="auto"/>
              <w:right w:val="single" w:sz="4" w:space="0" w:color="auto"/>
            </w:tcBorders>
            <w:shd w:val="clear" w:color="auto" w:fill="auto"/>
            <w:vAlign w:val="center"/>
            <w:hideMark/>
          </w:tcPr>
          <w:p w14:paraId="119FD647"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S or X</w:t>
            </w:r>
          </w:p>
        </w:tc>
        <w:tc>
          <w:tcPr>
            <w:tcW w:w="1560" w:type="dxa"/>
            <w:tcBorders>
              <w:top w:val="nil"/>
              <w:left w:val="nil"/>
              <w:bottom w:val="single" w:sz="4" w:space="0" w:color="auto"/>
              <w:right w:val="single" w:sz="4" w:space="0" w:color="auto"/>
            </w:tcBorders>
            <w:shd w:val="clear" w:color="auto" w:fill="auto"/>
            <w:vAlign w:val="center"/>
            <w:hideMark/>
          </w:tcPr>
          <w:p w14:paraId="3BEC1BA3"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6</w:t>
            </w:r>
          </w:p>
        </w:tc>
        <w:tc>
          <w:tcPr>
            <w:tcW w:w="1701" w:type="dxa"/>
            <w:tcBorders>
              <w:top w:val="nil"/>
              <w:left w:val="nil"/>
              <w:bottom w:val="single" w:sz="4" w:space="0" w:color="auto"/>
              <w:right w:val="single" w:sz="4" w:space="0" w:color="auto"/>
            </w:tcBorders>
            <w:shd w:val="clear" w:color="auto" w:fill="auto"/>
            <w:vAlign w:val="center"/>
            <w:hideMark/>
          </w:tcPr>
          <w:p w14:paraId="6BED1EBE"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12</w:t>
            </w:r>
          </w:p>
        </w:tc>
        <w:tc>
          <w:tcPr>
            <w:tcW w:w="1701" w:type="dxa"/>
            <w:tcBorders>
              <w:top w:val="nil"/>
              <w:left w:val="nil"/>
              <w:bottom w:val="single" w:sz="4" w:space="0" w:color="auto"/>
              <w:right w:val="single" w:sz="4" w:space="0" w:color="auto"/>
            </w:tcBorders>
            <w:shd w:val="clear" w:color="auto" w:fill="auto"/>
            <w:noWrap/>
            <w:vAlign w:val="bottom"/>
            <w:hideMark/>
          </w:tcPr>
          <w:p w14:paraId="02C159C3" w14:textId="77777777" w:rsidR="00012C5C" w:rsidRPr="00AD4A9C" w:rsidRDefault="00012C5C" w:rsidP="00BD1E8D">
            <w:pPr>
              <w:overflowPunct/>
              <w:autoSpaceDE/>
              <w:autoSpaceDN/>
              <w:adjustRightInd/>
              <w:spacing w:after="0"/>
              <w:jc w:val="right"/>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48</w:t>
            </w:r>
          </w:p>
        </w:tc>
        <w:tc>
          <w:tcPr>
            <w:tcW w:w="1701" w:type="dxa"/>
            <w:tcBorders>
              <w:top w:val="nil"/>
              <w:left w:val="nil"/>
              <w:bottom w:val="single" w:sz="4" w:space="0" w:color="auto"/>
              <w:right w:val="single" w:sz="4" w:space="0" w:color="auto"/>
            </w:tcBorders>
            <w:shd w:val="clear" w:color="auto" w:fill="auto"/>
            <w:noWrap/>
            <w:vAlign w:val="bottom"/>
            <w:hideMark/>
          </w:tcPr>
          <w:p w14:paraId="4E9D2F55"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sidRPr="00AD4A9C">
              <w:rPr>
                <w:rFonts w:eastAsia="Times New Roman"/>
                <w:color w:val="000000"/>
                <w:sz w:val="18"/>
                <w:szCs w:val="18"/>
                <w:lang w:val="en-US" w:eastAsia="ko-KR"/>
              </w:rPr>
              <w:t>96</w:t>
            </w:r>
          </w:p>
        </w:tc>
      </w:tr>
      <w:tr w:rsidR="00A9149C" w:rsidRPr="0000485A" w14:paraId="29A6FE86" w14:textId="77777777" w:rsidTr="00A9149C">
        <w:trPr>
          <w:trHeight w:val="290"/>
        </w:trPr>
        <w:tc>
          <w:tcPr>
            <w:tcW w:w="657" w:type="dxa"/>
            <w:tcBorders>
              <w:top w:val="nil"/>
              <w:left w:val="single" w:sz="4" w:space="0" w:color="auto"/>
              <w:bottom w:val="single" w:sz="4" w:space="0" w:color="auto"/>
              <w:right w:val="single" w:sz="4" w:space="0" w:color="auto"/>
            </w:tcBorders>
            <w:shd w:val="clear" w:color="auto" w:fill="auto"/>
            <w:vAlign w:val="center"/>
            <w:hideMark/>
          </w:tcPr>
          <w:p w14:paraId="16F173B8"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4</w:t>
            </w:r>
          </w:p>
        </w:tc>
        <w:tc>
          <w:tcPr>
            <w:tcW w:w="937" w:type="dxa"/>
            <w:tcBorders>
              <w:top w:val="nil"/>
              <w:left w:val="nil"/>
              <w:bottom w:val="single" w:sz="4" w:space="0" w:color="auto"/>
              <w:right w:val="single" w:sz="4" w:space="0" w:color="auto"/>
            </w:tcBorders>
            <w:shd w:val="clear" w:color="auto" w:fill="auto"/>
            <w:vAlign w:val="center"/>
            <w:hideMark/>
          </w:tcPr>
          <w:p w14:paraId="47F111D1"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2</w:t>
            </w:r>
          </w:p>
        </w:tc>
        <w:tc>
          <w:tcPr>
            <w:tcW w:w="1231" w:type="dxa"/>
            <w:tcBorders>
              <w:top w:val="nil"/>
              <w:left w:val="nil"/>
              <w:bottom w:val="single" w:sz="4" w:space="0" w:color="auto"/>
              <w:right w:val="single" w:sz="4" w:space="0" w:color="auto"/>
            </w:tcBorders>
            <w:shd w:val="clear" w:color="auto" w:fill="auto"/>
            <w:hideMark/>
          </w:tcPr>
          <w:p w14:paraId="06454CB5"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S or X</w:t>
            </w:r>
          </w:p>
        </w:tc>
        <w:tc>
          <w:tcPr>
            <w:tcW w:w="1560" w:type="dxa"/>
            <w:tcBorders>
              <w:top w:val="nil"/>
              <w:left w:val="nil"/>
              <w:bottom w:val="single" w:sz="4" w:space="0" w:color="auto"/>
              <w:right w:val="single" w:sz="4" w:space="0" w:color="auto"/>
            </w:tcBorders>
            <w:shd w:val="clear" w:color="auto" w:fill="auto"/>
            <w:vAlign w:val="center"/>
            <w:hideMark/>
          </w:tcPr>
          <w:p w14:paraId="2B9C5DB3"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12</w:t>
            </w:r>
          </w:p>
        </w:tc>
        <w:tc>
          <w:tcPr>
            <w:tcW w:w="1701" w:type="dxa"/>
            <w:tcBorders>
              <w:top w:val="nil"/>
              <w:left w:val="nil"/>
              <w:bottom w:val="single" w:sz="4" w:space="0" w:color="auto"/>
              <w:right w:val="single" w:sz="4" w:space="0" w:color="auto"/>
            </w:tcBorders>
            <w:shd w:val="clear" w:color="auto" w:fill="auto"/>
            <w:vAlign w:val="center"/>
            <w:hideMark/>
          </w:tcPr>
          <w:p w14:paraId="28C35A5F"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48</w:t>
            </w:r>
          </w:p>
        </w:tc>
        <w:tc>
          <w:tcPr>
            <w:tcW w:w="1701" w:type="dxa"/>
            <w:tcBorders>
              <w:top w:val="nil"/>
              <w:left w:val="nil"/>
              <w:bottom w:val="single" w:sz="4" w:space="0" w:color="auto"/>
              <w:right w:val="single" w:sz="4" w:space="0" w:color="auto"/>
            </w:tcBorders>
            <w:shd w:val="clear" w:color="auto" w:fill="auto"/>
            <w:noWrap/>
            <w:vAlign w:val="bottom"/>
            <w:hideMark/>
          </w:tcPr>
          <w:p w14:paraId="696EA6C8" w14:textId="77777777" w:rsidR="00012C5C" w:rsidRPr="00AD4A9C" w:rsidRDefault="00012C5C" w:rsidP="00BD1E8D">
            <w:pPr>
              <w:overflowPunct/>
              <w:autoSpaceDE/>
              <w:autoSpaceDN/>
              <w:adjustRightInd/>
              <w:spacing w:after="0"/>
              <w:jc w:val="right"/>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144</w:t>
            </w:r>
          </w:p>
        </w:tc>
        <w:tc>
          <w:tcPr>
            <w:tcW w:w="1701" w:type="dxa"/>
            <w:tcBorders>
              <w:top w:val="nil"/>
              <w:left w:val="nil"/>
              <w:bottom w:val="single" w:sz="4" w:space="0" w:color="auto"/>
              <w:right w:val="single" w:sz="4" w:space="0" w:color="auto"/>
            </w:tcBorders>
            <w:shd w:val="clear" w:color="auto" w:fill="auto"/>
            <w:noWrap/>
            <w:vAlign w:val="bottom"/>
            <w:hideMark/>
          </w:tcPr>
          <w:p w14:paraId="5501304E"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sidRPr="00AD4A9C">
              <w:rPr>
                <w:rFonts w:eastAsia="Times New Roman"/>
                <w:color w:val="000000"/>
                <w:sz w:val="18"/>
                <w:szCs w:val="18"/>
                <w:lang w:val="en-US" w:eastAsia="ko-KR"/>
              </w:rPr>
              <w:t>288</w:t>
            </w:r>
          </w:p>
        </w:tc>
      </w:tr>
      <w:tr w:rsidR="00A9149C" w:rsidRPr="0000485A" w14:paraId="74D802DE" w14:textId="77777777" w:rsidTr="00A9149C">
        <w:trPr>
          <w:trHeight w:val="340"/>
        </w:trPr>
        <w:tc>
          <w:tcPr>
            <w:tcW w:w="657" w:type="dxa"/>
            <w:tcBorders>
              <w:top w:val="nil"/>
              <w:left w:val="single" w:sz="4" w:space="0" w:color="auto"/>
              <w:bottom w:val="single" w:sz="4" w:space="0" w:color="auto"/>
              <w:right w:val="single" w:sz="4" w:space="0" w:color="auto"/>
            </w:tcBorders>
            <w:shd w:val="clear" w:color="auto" w:fill="auto"/>
            <w:vAlign w:val="center"/>
            <w:hideMark/>
          </w:tcPr>
          <w:p w14:paraId="067F1A86"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4</w:t>
            </w:r>
          </w:p>
        </w:tc>
        <w:tc>
          <w:tcPr>
            <w:tcW w:w="937" w:type="dxa"/>
            <w:tcBorders>
              <w:top w:val="nil"/>
              <w:left w:val="nil"/>
              <w:bottom w:val="single" w:sz="4" w:space="0" w:color="auto"/>
              <w:right w:val="single" w:sz="4" w:space="0" w:color="auto"/>
            </w:tcBorders>
            <w:shd w:val="clear" w:color="auto" w:fill="auto"/>
            <w:vAlign w:val="center"/>
            <w:hideMark/>
          </w:tcPr>
          <w:p w14:paraId="552930DD"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4</w:t>
            </w:r>
          </w:p>
        </w:tc>
        <w:tc>
          <w:tcPr>
            <w:tcW w:w="1231" w:type="dxa"/>
            <w:tcBorders>
              <w:top w:val="nil"/>
              <w:left w:val="nil"/>
              <w:bottom w:val="single" w:sz="4" w:space="0" w:color="auto"/>
              <w:right w:val="single" w:sz="4" w:space="0" w:color="auto"/>
            </w:tcBorders>
            <w:shd w:val="clear" w:color="auto" w:fill="auto"/>
            <w:hideMark/>
          </w:tcPr>
          <w:p w14:paraId="2844723E"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S or X</w:t>
            </w:r>
          </w:p>
        </w:tc>
        <w:tc>
          <w:tcPr>
            <w:tcW w:w="1560" w:type="dxa"/>
            <w:tcBorders>
              <w:top w:val="nil"/>
              <w:left w:val="nil"/>
              <w:bottom w:val="single" w:sz="4" w:space="0" w:color="auto"/>
              <w:right w:val="single" w:sz="4" w:space="0" w:color="auto"/>
            </w:tcBorders>
            <w:shd w:val="clear" w:color="auto" w:fill="auto"/>
            <w:vAlign w:val="center"/>
            <w:hideMark/>
          </w:tcPr>
          <w:p w14:paraId="64DF73D6" w14:textId="77777777" w:rsidR="00012C5C" w:rsidRPr="00AD4A9C" w:rsidRDefault="00012C5C" w:rsidP="00BD1E8D">
            <w:pPr>
              <w:overflowPunct/>
              <w:autoSpaceDE/>
              <w:autoSpaceDN/>
              <w:adjustRightInd/>
              <w:spacing w:after="0"/>
              <w:jc w:val="center"/>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4</w:t>
            </w:r>
          </w:p>
        </w:tc>
        <w:tc>
          <w:tcPr>
            <w:tcW w:w="1701" w:type="dxa"/>
            <w:tcBorders>
              <w:top w:val="nil"/>
              <w:left w:val="nil"/>
              <w:bottom w:val="single" w:sz="4" w:space="0" w:color="auto"/>
              <w:right w:val="single" w:sz="4" w:space="0" w:color="auto"/>
            </w:tcBorders>
            <w:shd w:val="clear" w:color="auto" w:fill="auto"/>
            <w:vAlign w:val="center"/>
            <w:hideMark/>
          </w:tcPr>
          <w:p w14:paraId="6B6BC53C"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12</w:t>
            </w:r>
          </w:p>
        </w:tc>
        <w:tc>
          <w:tcPr>
            <w:tcW w:w="1701" w:type="dxa"/>
            <w:tcBorders>
              <w:top w:val="nil"/>
              <w:left w:val="nil"/>
              <w:bottom w:val="single" w:sz="4" w:space="0" w:color="auto"/>
              <w:right w:val="single" w:sz="4" w:space="0" w:color="auto"/>
            </w:tcBorders>
            <w:shd w:val="clear" w:color="auto" w:fill="auto"/>
            <w:noWrap/>
            <w:vAlign w:val="bottom"/>
            <w:hideMark/>
          </w:tcPr>
          <w:p w14:paraId="207A8F9A" w14:textId="77777777" w:rsidR="00012C5C" w:rsidRPr="00AD4A9C" w:rsidRDefault="00012C5C" w:rsidP="00BD1E8D">
            <w:pPr>
              <w:overflowPunct/>
              <w:autoSpaceDE/>
              <w:autoSpaceDN/>
              <w:adjustRightInd/>
              <w:spacing w:after="0"/>
              <w:jc w:val="right"/>
              <w:textAlignment w:val="auto"/>
              <w:rPr>
                <w:rFonts w:eastAsia="Times New Roman"/>
                <w:b/>
                <w:color w:val="000000"/>
                <w:sz w:val="18"/>
                <w:szCs w:val="18"/>
                <w:lang w:val="en-US" w:eastAsia="ko-KR"/>
              </w:rPr>
            </w:pPr>
            <w:r w:rsidRPr="00AD4A9C">
              <w:rPr>
                <w:rFonts w:eastAsia="Times New Roman"/>
                <w:b/>
                <w:color w:val="000000"/>
                <w:sz w:val="18"/>
                <w:szCs w:val="18"/>
                <w:lang w:val="en-US" w:eastAsia="ko-KR"/>
              </w:rPr>
              <w:t>48</w:t>
            </w:r>
          </w:p>
        </w:tc>
        <w:tc>
          <w:tcPr>
            <w:tcW w:w="1701" w:type="dxa"/>
            <w:tcBorders>
              <w:top w:val="nil"/>
              <w:left w:val="nil"/>
              <w:bottom w:val="single" w:sz="4" w:space="0" w:color="auto"/>
              <w:right w:val="single" w:sz="4" w:space="0" w:color="auto"/>
            </w:tcBorders>
            <w:shd w:val="clear" w:color="auto" w:fill="auto"/>
            <w:noWrap/>
            <w:vAlign w:val="bottom"/>
            <w:hideMark/>
          </w:tcPr>
          <w:p w14:paraId="18E3C3B7"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sidRPr="00AD4A9C">
              <w:rPr>
                <w:rFonts w:eastAsia="Times New Roman"/>
                <w:color w:val="000000"/>
                <w:sz w:val="18"/>
                <w:szCs w:val="18"/>
                <w:lang w:val="en-US" w:eastAsia="ko-KR"/>
              </w:rPr>
              <w:t>96</w:t>
            </w:r>
          </w:p>
        </w:tc>
      </w:tr>
      <w:tr w:rsidR="00A9149C" w:rsidRPr="0000485A" w14:paraId="487C96B8" w14:textId="77777777" w:rsidTr="00A9149C">
        <w:trPr>
          <w:trHeight w:val="290"/>
        </w:trPr>
        <w:tc>
          <w:tcPr>
            <w:tcW w:w="657" w:type="dxa"/>
            <w:tcBorders>
              <w:top w:val="nil"/>
              <w:left w:val="single" w:sz="4" w:space="0" w:color="auto"/>
              <w:bottom w:val="single" w:sz="4" w:space="0" w:color="auto"/>
              <w:right w:val="single" w:sz="4" w:space="0" w:color="auto"/>
            </w:tcBorders>
            <w:shd w:val="clear" w:color="auto" w:fill="auto"/>
            <w:vAlign w:val="center"/>
            <w:hideMark/>
          </w:tcPr>
          <w:p w14:paraId="1DF2F21E" w14:textId="77777777" w:rsidR="00012C5C" w:rsidRPr="00AD4A9C"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AD4A9C">
              <w:rPr>
                <w:rFonts w:eastAsia="Times New Roman"/>
                <w:color w:val="000000"/>
                <w:sz w:val="18"/>
                <w:szCs w:val="18"/>
                <w:lang w:val="en-US" w:eastAsia="ko-KR"/>
              </w:rPr>
              <w:t>6</w:t>
            </w:r>
          </w:p>
        </w:tc>
        <w:tc>
          <w:tcPr>
            <w:tcW w:w="937" w:type="dxa"/>
            <w:tcBorders>
              <w:top w:val="nil"/>
              <w:left w:val="nil"/>
              <w:bottom w:val="single" w:sz="4" w:space="0" w:color="auto"/>
              <w:right w:val="single" w:sz="4" w:space="0" w:color="auto"/>
            </w:tcBorders>
            <w:shd w:val="clear" w:color="auto" w:fill="auto"/>
            <w:vAlign w:val="center"/>
            <w:hideMark/>
          </w:tcPr>
          <w:p w14:paraId="0C3F18EE" w14:textId="77777777" w:rsidR="00012C5C" w:rsidRPr="00AD4A9C"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AD4A9C">
              <w:rPr>
                <w:rFonts w:eastAsia="Times New Roman"/>
                <w:color w:val="000000"/>
                <w:sz w:val="18"/>
                <w:szCs w:val="18"/>
                <w:lang w:val="en-US" w:eastAsia="ko-KR"/>
              </w:rPr>
              <w:t>2</w:t>
            </w:r>
          </w:p>
        </w:tc>
        <w:tc>
          <w:tcPr>
            <w:tcW w:w="1231" w:type="dxa"/>
            <w:tcBorders>
              <w:top w:val="nil"/>
              <w:left w:val="nil"/>
              <w:bottom w:val="single" w:sz="4" w:space="0" w:color="auto"/>
              <w:right w:val="single" w:sz="4" w:space="0" w:color="auto"/>
            </w:tcBorders>
            <w:shd w:val="clear" w:color="auto" w:fill="auto"/>
            <w:hideMark/>
          </w:tcPr>
          <w:p w14:paraId="6BAC267E"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D26AE2">
              <w:rPr>
                <w:rFonts w:eastAsia="Times New Roman"/>
                <w:color w:val="000000"/>
                <w:sz w:val="18"/>
                <w:szCs w:val="18"/>
                <w:lang w:val="en-US" w:eastAsia="ko-KR"/>
              </w:rPr>
              <w:t>S or X</w:t>
            </w:r>
          </w:p>
        </w:tc>
        <w:tc>
          <w:tcPr>
            <w:tcW w:w="1560" w:type="dxa"/>
            <w:tcBorders>
              <w:top w:val="nil"/>
              <w:left w:val="nil"/>
              <w:bottom w:val="single" w:sz="4" w:space="0" w:color="auto"/>
              <w:right w:val="single" w:sz="4" w:space="0" w:color="auto"/>
            </w:tcBorders>
            <w:shd w:val="clear" w:color="auto" w:fill="auto"/>
            <w:vAlign w:val="center"/>
            <w:hideMark/>
          </w:tcPr>
          <w:p w14:paraId="464DAD47"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18</w:t>
            </w:r>
          </w:p>
        </w:tc>
        <w:tc>
          <w:tcPr>
            <w:tcW w:w="1701" w:type="dxa"/>
            <w:tcBorders>
              <w:top w:val="nil"/>
              <w:left w:val="nil"/>
              <w:bottom w:val="single" w:sz="4" w:space="0" w:color="auto"/>
              <w:right w:val="single" w:sz="4" w:space="0" w:color="auto"/>
            </w:tcBorders>
            <w:shd w:val="clear" w:color="auto" w:fill="auto"/>
            <w:vAlign w:val="center"/>
            <w:hideMark/>
          </w:tcPr>
          <w:p w14:paraId="2CFD6039"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36</w:t>
            </w:r>
          </w:p>
        </w:tc>
        <w:tc>
          <w:tcPr>
            <w:tcW w:w="1701" w:type="dxa"/>
            <w:tcBorders>
              <w:top w:val="nil"/>
              <w:left w:val="nil"/>
              <w:bottom w:val="single" w:sz="4" w:space="0" w:color="auto"/>
              <w:right w:val="single" w:sz="4" w:space="0" w:color="auto"/>
            </w:tcBorders>
            <w:shd w:val="clear" w:color="auto" w:fill="auto"/>
            <w:noWrap/>
            <w:vAlign w:val="bottom"/>
            <w:hideMark/>
          </w:tcPr>
          <w:p w14:paraId="0F6145F9"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216</w:t>
            </w:r>
            <w:r>
              <w:rPr>
                <w:rFonts w:eastAsia="Times New Roman"/>
                <w:color w:val="000000"/>
                <w:sz w:val="18"/>
                <w:szCs w:val="18"/>
                <w:lang w:val="en-US" w:eastAsia="ko-KR"/>
              </w:rPr>
              <w:t>]</w:t>
            </w:r>
          </w:p>
        </w:tc>
        <w:tc>
          <w:tcPr>
            <w:tcW w:w="1701" w:type="dxa"/>
            <w:tcBorders>
              <w:top w:val="nil"/>
              <w:left w:val="nil"/>
              <w:bottom w:val="single" w:sz="4" w:space="0" w:color="auto"/>
              <w:right w:val="single" w:sz="4" w:space="0" w:color="auto"/>
            </w:tcBorders>
            <w:shd w:val="clear" w:color="auto" w:fill="auto"/>
            <w:noWrap/>
            <w:vAlign w:val="bottom"/>
            <w:hideMark/>
          </w:tcPr>
          <w:p w14:paraId="21C61E14"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432</w:t>
            </w:r>
            <w:r>
              <w:rPr>
                <w:rFonts w:eastAsia="Times New Roman"/>
                <w:color w:val="000000"/>
                <w:sz w:val="18"/>
                <w:szCs w:val="18"/>
                <w:lang w:val="en-US" w:eastAsia="ko-KR"/>
              </w:rPr>
              <w:t>]</w:t>
            </w:r>
          </w:p>
        </w:tc>
      </w:tr>
      <w:tr w:rsidR="00A9149C" w:rsidRPr="0000485A" w14:paraId="43C7E57C" w14:textId="77777777" w:rsidTr="00A9149C">
        <w:trPr>
          <w:trHeight w:val="290"/>
        </w:trPr>
        <w:tc>
          <w:tcPr>
            <w:tcW w:w="657" w:type="dxa"/>
            <w:tcBorders>
              <w:top w:val="nil"/>
              <w:left w:val="single" w:sz="4" w:space="0" w:color="auto"/>
              <w:bottom w:val="single" w:sz="4" w:space="0" w:color="auto"/>
              <w:right w:val="single" w:sz="4" w:space="0" w:color="auto"/>
            </w:tcBorders>
            <w:shd w:val="clear" w:color="auto" w:fill="auto"/>
            <w:vAlign w:val="center"/>
            <w:hideMark/>
          </w:tcPr>
          <w:p w14:paraId="6EAEE62F" w14:textId="77777777" w:rsidR="00012C5C" w:rsidRPr="00AD4A9C"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AD4A9C">
              <w:rPr>
                <w:rFonts w:eastAsia="Times New Roman"/>
                <w:color w:val="000000"/>
                <w:sz w:val="18"/>
                <w:szCs w:val="18"/>
                <w:lang w:val="en-US" w:eastAsia="ko-KR"/>
              </w:rPr>
              <w:t>6</w:t>
            </w:r>
          </w:p>
        </w:tc>
        <w:tc>
          <w:tcPr>
            <w:tcW w:w="937" w:type="dxa"/>
            <w:tcBorders>
              <w:top w:val="nil"/>
              <w:left w:val="nil"/>
              <w:bottom w:val="single" w:sz="4" w:space="0" w:color="auto"/>
              <w:right w:val="single" w:sz="4" w:space="0" w:color="auto"/>
            </w:tcBorders>
            <w:shd w:val="clear" w:color="auto" w:fill="auto"/>
            <w:vAlign w:val="center"/>
            <w:hideMark/>
          </w:tcPr>
          <w:p w14:paraId="46C19501" w14:textId="77777777" w:rsidR="00012C5C" w:rsidRPr="00AD4A9C"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AD4A9C">
              <w:rPr>
                <w:rFonts w:eastAsia="Times New Roman"/>
                <w:color w:val="000000"/>
                <w:sz w:val="18"/>
                <w:szCs w:val="18"/>
                <w:lang w:val="en-US" w:eastAsia="ko-KR"/>
              </w:rPr>
              <w:t>3</w:t>
            </w:r>
          </w:p>
        </w:tc>
        <w:tc>
          <w:tcPr>
            <w:tcW w:w="1231" w:type="dxa"/>
            <w:tcBorders>
              <w:top w:val="nil"/>
              <w:left w:val="nil"/>
              <w:bottom w:val="single" w:sz="4" w:space="0" w:color="auto"/>
              <w:right w:val="single" w:sz="4" w:space="0" w:color="auto"/>
            </w:tcBorders>
            <w:shd w:val="clear" w:color="auto" w:fill="auto"/>
            <w:hideMark/>
          </w:tcPr>
          <w:p w14:paraId="0B7E31FD"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D26AE2">
              <w:rPr>
                <w:rFonts w:eastAsia="Times New Roman"/>
                <w:color w:val="000000"/>
                <w:sz w:val="18"/>
                <w:szCs w:val="18"/>
                <w:lang w:val="en-US" w:eastAsia="ko-KR"/>
              </w:rPr>
              <w:t>S or X</w:t>
            </w:r>
          </w:p>
        </w:tc>
        <w:tc>
          <w:tcPr>
            <w:tcW w:w="1560" w:type="dxa"/>
            <w:tcBorders>
              <w:top w:val="nil"/>
              <w:left w:val="nil"/>
              <w:bottom w:val="single" w:sz="4" w:space="0" w:color="auto"/>
              <w:right w:val="single" w:sz="4" w:space="0" w:color="auto"/>
            </w:tcBorders>
            <w:shd w:val="clear" w:color="auto" w:fill="auto"/>
            <w:vAlign w:val="center"/>
            <w:hideMark/>
          </w:tcPr>
          <w:p w14:paraId="03507C99"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12</w:t>
            </w:r>
          </w:p>
        </w:tc>
        <w:tc>
          <w:tcPr>
            <w:tcW w:w="1701" w:type="dxa"/>
            <w:tcBorders>
              <w:top w:val="nil"/>
              <w:left w:val="nil"/>
              <w:bottom w:val="single" w:sz="4" w:space="0" w:color="auto"/>
              <w:right w:val="single" w:sz="4" w:space="0" w:color="auto"/>
            </w:tcBorders>
            <w:shd w:val="clear" w:color="auto" w:fill="auto"/>
            <w:vAlign w:val="center"/>
            <w:hideMark/>
          </w:tcPr>
          <w:p w14:paraId="41C8AA36"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24</w:t>
            </w:r>
          </w:p>
        </w:tc>
        <w:tc>
          <w:tcPr>
            <w:tcW w:w="1701" w:type="dxa"/>
            <w:tcBorders>
              <w:top w:val="nil"/>
              <w:left w:val="nil"/>
              <w:bottom w:val="single" w:sz="4" w:space="0" w:color="auto"/>
              <w:right w:val="single" w:sz="4" w:space="0" w:color="auto"/>
            </w:tcBorders>
            <w:shd w:val="clear" w:color="auto" w:fill="auto"/>
            <w:noWrap/>
            <w:vAlign w:val="bottom"/>
            <w:hideMark/>
          </w:tcPr>
          <w:p w14:paraId="4A36AF0A"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144</w:t>
            </w:r>
            <w:r>
              <w:rPr>
                <w:rFonts w:eastAsia="Times New Roman"/>
                <w:color w:val="000000"/>
                <w:sz w:val="18"/>
                <w:szCs w:val="18"/>
                <w:lang w:val="en-US" w:eastAsia="ko-KR"/>
              </w:rPr>
              <w:t>]</w:t>
            </w:r>
          </w:p>
        </w:tc>
        <w:tc>
          <w:tcPr>
            <w:tcW w:w="1701" w:type="dxa"/>
            <w:tcBorders>
              <w:top w:val="nil"/>
              <w:left w:val="nil"/>
              <w:bottom w:val="single" w:sz="4" w:space="0" w:color="auto"/>
              <w:right w:val="single" w:sz="4" w:space="0" w:color="auto"/>
            </w:tcBorders>
            <w:shd w:val="clear" w:color="auto" w:fill="auto"/>
            <w:noWrap/>
            <w:vAlign w:val="bottom"/>
            <w:hideMark/>
          </w:tcPr>
          <w:p w14:paraId="2EE5DFCF"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288</w:t>
            </w:r>
            <w:r>
              <w:rPr>
                <w:rFonts w:eastAsia="Times New Roman"/>
                <w:color w:val="000000"/>
                <w:sz w:val="18"/>
                <w:szCs w:val="18"/>
                <w:lang w:val="en-US" w:eastAsia="ko-KR"/>
              </w:rPr>
              <w:t>]</w:t>
            </w:r>
          </w:p>
        </w:tc>
      </w:tr>
      <w:tr w:rsidR="00A9149C" w:rsidRPr="0000485A" w14:paraId="61A3A769" w14:textId="77777777" w:rsidTr="007A442B">
        <w:trPr>
          <w:trHeight w:val="290"/>
        </w:trPr>
        <w:tc>
          <w:tcPr>
            <w:tcW w:w="657" w:type="dxa"/>
            <w:tcBorders>
              <w:top w:val="nil"/>
              <w:left w:val="single" w:sz="4" w:space="0" w:color="auto"/>
              <w:bottom w:val="nil"/>
              <w:right w:val="single" w:sz="4" w:space="0" w:color="auto"/>
            </w:tcBorders>
            <w:shd w:val="clear" w:color="auto" w:fill="auto"/>
            <w:vAlign w:val="center"/>
            <w:hideMark/>
          </w:tcPr>
          <w:p w14:paraId="66BBA55B"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6</w:t>
            </w:r>
          </w:p>
        </w:tc>
        <w:tc>
          <w:tcPr>
            <w:tcW w:w="937" w:type="dxa"/>
            <w:tcBorders>
              <w:top w:val="nil"/>
              <w:left w:val="nil"/>
              <w:bottom w:val="nil"/>
              <w:right w:val="single" w:sz="4" w:space="0" w:color="auto"/>
            </w:tcBorders>
            <w:shd w:val="clear" w:color="auto" w:fill="auto"/>
            <w:vAlign w:val="center"/>
            <w:hideMark/>
          </w:tcPr>
          <w:p w14:paraId="47C36FB2"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6</w:t>
            </w:r>
          </w:p>
        </w:tc>
        <w:tc>
          <w:tcPr>
            <w:tcW w:w="1231" w:type="dxa"/>
            <w:tcBorders>
              <w:top w:val="nil"/>
              <w:left w:val="nil"/>
              <w:bottom w:val="nil"/>
              <w:right w:val="single" w:sz="4" w:space="0" w:color="auto"/>
            </w:tcBorders>
            <w:shd w:val="clear" w:color="auto" w:fill="auto"/>
            <w:hideMark/>
          </w:tcPr>
          <w:p w14:paraId="2FA0DF20"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D26AE2">
              <w:rPr>
                <w:rFonts w:eastAsia="Times New Roman"/>
                <w:color w:val="000000"/>
                <w:sz w:val="18"/>
                <w:szCs w:val="18"/>
                <w:lang w:val="en-US" w:eastAsia="ko-KR"/>
              </w:rPr>
              <w:t>S or X</w:t>
            </w:r>
          </w:p>
        </w:tc>
        <w:tc>
          <w:tcPr>
            <w:tcW w:w="1560" w:type="dxa"/>
            <w:tcBorders>
              <w:top w:val="nil"/>
              <w:left w:val="nil"/>
              <w:bottom w:val="nil"/>
              <w:right w:val="single" w:sz="4" w:space="0" w:color="auto"/>
            </w:tcBorders>
            <w:shd w:val="clear" w:color="auto" w:fill="auto"/>
            <w:vAlign w:val="center"/>
            <w:hideMark/>
          </w:tcPr>
          <w:p w14:paraId="499C91D6"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6</w:t>
            </w:r>
          </w:p>
        </w:tc>
        <w:tc>
          <w:tcPr>
            <w:tcW w:w="1701" w:type="dxa"/>
            <w:tcBorders>
              <w:top w:val="nil"/>
              <w:left w:val="nil"/>
              <w:bottom w:val="nil"/>
              <w:right w:val="single" w:sz="4" w:space="0" w:color="auto"/>
            </w:tcBorders>
            <w:shd w:val="clear" w:color="auto" w:fill="auto"/>
            <w:vAlign w:val="center"/>
            <w:hideMark/>
          </w:tcPr>
          <w:p w14:paraId="169395F6" w14:textId="77777777" w:rsidR="00012C5C" w:rsidRPr="0000485A" w:rsidRDefault="00012C5C" w:rsidP="00BD1E8D">
            <w:pPr>
              <w:overflowPunct/>
              <w:autoSpaceDE/>
              <w:autoSpaceDN/>
              <w:adjustRightInd/>
              <w:spacing w:after="0"/>
              <w:jc w:val="center"/>
              <w:textAlignment w:val="auto"/>
              <w:rPr>
                <w:rFonts w:eastAsia="Times New Roman"/>
                <w:color w:val="000000"/>
                <w:sz w:val="18"/>
                <w:szCs w:val="18"/>
                <w:lang w:val="en-US" w:eastAsia="ko-KR"/>
              </w:rPr>
            </w:pPr>
            <w:r w:rsidRPr="0000485A">
              <w:rPr>
                <w:rFonts w:eastAsia="Times New Roman"/>
                <w:color w:val="000000"/>
                <w:sz w:val="18"/>
                <w:szCs w:val="18"/>
                <w:lang w:val="en-US" w:eastAsia="ko-KR"/>
              </w:rPr>
              <w:t>12</w:t>
            </w:r>
          </w:p>
        </w:tc>
        <w:tc>
          <w:tcPr>
            <w:tcW w:w="1701" w:type="dxa"/>
            <w:tcBorders>
              <w:top w:val="nil"/>
              <w:left w:val="nil"/>
              <w:bottom w:val="nil"/>
              <w:right w:val="single" w:sz="4" w:space="0" w:color="auto"/>
            </w:tcBorders>
            <w:shd w:val="clear" w:color="auto" w:fill="auto"/>
            <w:noWrap/>
            <w:vAlign w:val="bottom"/>
            <w:hideMark/>
          </w:tcPr>
          <w:p w14:paraId="36ECC254"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72</w:t>
            </w:r>
            <w:r>
              <w:rPr>
                <w:rFonts w:eastAsia="Times New Roman"/>
                <w:color w:val="000000"/>
                <w:sz w:val="18"/>
                <w:szCs w:val="18"/>
                <w:lang w:val="en-US" w:eastAsia="ko-KR"/>
              </w:rPr>
              <w:t>]</w:t>
            </w:r>
          </w:p>
        </w:tc>
        <w:tc>
          <w:tcPr>
            <w:tcW w:w="1701" w:type="dxa"/>
            <w:tcBorders>
              <w:top w:val="nil"/>
              <w:left w:val="nil"/>
              <w:bottom w:val="nil"/>
              <w:right w:val="single" w:sz="4" w:space="0" w:color="auto"/>
            </w:tcBorders>
            <w:shd w:val="clear" w:color="auto" w:fill="auto"/>
            <w:noWrap/>
            <w:vAlign w:val="bottom"/>
            <w:hideMark/>
          </w:tcPr>
          <w:p w14:paraId="33E7E0B1" w14:textId="77777777" w:rsidR="00012C5C" w:rsidRPr="00AD4A9C" w:rsidRDefault="00012C5C" w:rsidP="00BD1E8D">
            <w:pPr>
              <w:overflowPunct/>
              <w:autoSpaceDE/>
              <w:autoSpaceDN/>
              <w:adjustRightInd/>
              <w:spacing w:after="0"/>
              <w:jc w:val="right"/>
              <w:textAlignment w:val="auto"/>
              <w:rPr>
                <w:rFonts w:eastAsia="Times New Roman"/>
                <w:color w:val="000000"/>
                <w:sz w:val="18"/>
                <w:szCs w:val="18"/>
                <w:lang w:val="en-US" w:eastAsia="ko-KR"/>
              </w:rPr>
            </w:pPr>
            <w:r>
              <w:rPr>
                <w:rFonts w:eastAsia="Times New Roman"/>
                <w:color w:val="000000"/>
                <w:sz w:val="18"/>
                <w:szCs w:val="18"/>
                <w:lang w:val="en-US" w:eastAsia="ko-KR"/>
              </w:rPr>
              <w:t>[</w:t>
            </w:r>
            <w:r w:rsidRPr="00AD4A9C">
              <w:rPr>
                <w:rFonts w:eastAsia="Times New Roman"/>
                <w:color w:val="000000"/>
                <w:sz w:val="18"/>
                <w:szCs w:val="18"/>
                <w:lang w:val="en-US" w:eastAsia="ko-KR"/>
              </w:rPr>
              <w:t>144</w:t>
            </w:r>
            <w:r>
              <w:rPr>
                <w:rFonts w:eastAsia="Times New Roman"/>
                <w:color w:val="000000"/>
                <w:sz w:val="18"/>
                <w:szCs w:val="18"/>
                <w:lang w:val="en-US" w:eastAsia="ko-KR"/>
              </w:rPr>
              <w:t>]</w:t>
            </w:r>
          </w:p>
        </w:tc>
      </w:tr>
      <w:tr w:rsidR="00A9149C" w:rsidRPr="0000485A" w14:paraId="12034B53" w14:textId="77777777" w:rsidTr="007A442B">
        <w:trPr>
          <w:trHeight w:val="80"/>
        </w:trPr>
        <w:tc>
          <w:tcPr>
            <w:tcW w:w="657" w:type="dxa"/>
            <w:tcBorders>
              <w:top w:val="nil"/>
              <w:left w:val="single" w:sz="4" w:space="0" w:color="auto"/>
              <w:bottom w:val="single" w:sz="4" w:space="0" w:color="auto"/>
              <w:right w:val="single" w:sz="4" w:space="0" w:color="auto"/>
            </w:tcBorders>
            <w:shd w:val="clear" w:color="auto" w:fill="auto"/>
            <w:vAlign w:val="center"/>
          </w:tcPr>
          <w:p w14:paraId="000F6F2C" w14:textId="77777777" w:rsidR="00A9149C" w:rsidRPr="0000485A" w:rsidRDefault="00A9149C" w:rsidP="00BD1E8D">
            <w:pPr>
              <w:overflowPunct/>
              <w:autoSpaceDE/>
              <w:autoSpaceDN/>
              <w:adjustRightInd/>
              <w:spacing w:after="0"/>
              <w:jc w:val="center"/>
              <w:textAlignment w:val="auto"/>
              <w:rPr>
                <w:rFonts w:eastAsia="Times New Roman"/>
                <w:color w:val="000000"/>
                <w:sz w:val="18"/>
                <w:szCs w:val="18"/>
                <w:lang w:val="en-US" w:eastAsia="ko-KR"/>
              </w:rPr>
            </w:pPr>
          </w:p>
        </w:tc>
        <w:tc>
          <w:tcPr>
            <w:tcW w:w="937" w:type="dxa"/>
            <w:tcBorders>
              <w:top w:val="nil"/>
              <w:left w:val="nil"/>
              <w:bottom w:val="single" w:sz="4" w:space="0" w:color="auto"/>
              <w:right w:val="single" w:sz="4" w:space="0" w:color="auto"/>
            </w:tcBorders>
            <w:shd w:val="clear" w:color="auto" w:fill="auto"/>
            <w:vAlign w:val="center"/>
          </w:tcPr>
          <w:p w14:paraId="6B28ACD8" w14:textId="77777777" w:rsidR="00A9149C" w:rsidRPr="0000485A" w:rsidRDefault="00A9149C" w:rsidP="00BD1E8D">
            <w:pPr>
              <w:overflowPunct/>
              <w:autoSpaceDE/>
              <w:autoSpaceDN/>
              <w:adjustRightInd/>
              <w:spacing w:after="0"/>
              <w:jc w:val="center"/>
              <w:textAlignment w:val="auto"/>
              <w:rPr>
                <w:rFonts w:eastAsia="Times New Roman"/>
                <w:color w:val="000000"/>
                <w:sz w:val="18"/>
                <w:szCs w:val="18"/>
                <w:lang w:val="en-US" w:eastAsia="ko-KR"/>
              </w:rPr>
            </w:pPr>
          </w:p>
        </w:tc>
        <w:tc>
          <w:tcPr>
            <w:tcW w:w="1231" w:type="dxa"/>
            <w:tcBorders>
              <w:top w:val="nil"/>
              <w:left w:val="nil"/>
              <w:bottom w:val="single" w:sz="4" w:space="0" w:color="auto"/>
              <w:right w:val="single" w:sz="4" w:space="0" w:color="auto"/>
            </w:tcBorders>
            <w:shd w:val="clear" w:color="auto" w:fill="auto"/>
          </w:tcPr>
          <w:p w14:paraId="127BCDB7" w14:textId="77777777" w:rsidR="00A9149C" w:rsidRPr="00D26AE2" w:rsidRDefault="00A9149C" w:rsidP="00BD1E8D">
            <w:pPr>
              <w:overflowPunct/>
              <w:autoSpaceDE/>
              <w:autoSpaceDN/>
              <w:adjustRightInd/>
              <w:spacing w:after="0"/>
              <w:jc w:val="center"/>
              <w:textAlignment w:val="auto"/>
              <w:rPr>
                <w:rFonts w:eastAsia="Times New Roman"/>
                <w:color w:val="000000"/>
                <w:sz w:val="18"/>
                <w:szCs w:val="18"/>
                <w:lang w:val="en-US" w:eastAsia="ko-KR"/>
              </w:rPr>
            </w:pPr>
          </w:p>
        </w:tc>
        <w:tc>
          <w:tcPr>
            <w:tcW w:w="1560" w:type="dxa"/>
            <w:tcBorders>
              <w:top w:val="nil"/>
              <w:left w:val="nil"/>
              <w:bottom w:val="single" w:sz="4" w:space="0" w:color="auto"/>
              <w:right w:val="single" w:sz="4" w:space="0" w:color="auto"/>
            </w:tcBorders>
            <w:shd w:val="clear" w:color="auto" w:fill="auto"/>
            <w:vAlign w:val="center"/>
          </w:tcPr>
          <w:p w14:paraId="328F8E51" w14:textId="77777777" w:rsidR="00A9149C" w:rsidRPr="0000485A" w:rsidRDefault="00A9149C" w:rsidP="00BD1E8D">
            <w:pPr>
              <w:overflowPunct/>
              <w:autoSpaceDE/>
              <w:autoSpaceDN/>
              <w:adjustRightInd/>
              <w:spacing w:after="0"/>
              <w:jc w:val="center"/>
              <w:textAlignment w:val="auto"/>
              <w:rPr>
                <w:rFonts w:eastAsia="Times New Roman"/>
                <w:color w:val="000000"/>
                <w:sz w:val="18"/>
                <w:szCs w:val="18"/>
                <w:lang w:val="en-US" w:eastAsia="ko-KR"/>
              </w:rPr>
            </w:pPr>
          </w:p>
        </w:tc>
        <w:tc>
          <w:tcPr>
            <w:tcW w:w="1701" w:type="dxa"/>
            <w:tcBorders>
              <w:top w:val="nil"/>
              <w:left w:val="nil"/>
              <w:bottom w:val="single" w:sz="4" w:space="0" w:color="auto"/>
              <w:right w:val="single" w:sz="4" w:space="0" w:color="auto"/>
            </w:tcBorders>
            <w:shd w:val="clear" w:color="auto" w:fill="auto"/>
            <w:vAlign w:val="center"/>
          </w:tcPr>
          <w:p w14:paraId="4853930A" w14:textId="77777777" w:rsidR="00A9149C" w:rsidRPr="0000485A" w:rsidRDefault="00A9149C" w:rsidP="00BD1E8D">
            <w:pPr>
              <w:overflowPunct/>
              <w:autoSpaceDE/>
              <w:autoSpaceDN/>
              <w:adjustRightInd/>
              <w:spacing w:after="0"/>
              <w:jc w:val="center"/>
              <w:textAlignment w:val="auto"/>
              <w:rPr>
                <w:rFonts w:eastAsia="Times New Roman"/>
                <w:color w:val="000000"/>
                <w:sz w:val="18"/>
                <w:szCs w:val="18"/>
                <w:lang w:val="en-US" w:eastAsia="ko-KR"/>
              </w:rPr>
            </w:pPr>
          </w:p>
        </w:tc>
        <w:tc>
          <w:tcPr>
            <w:tcW w:w="1701" w:type="dxa"/>
            <w:tcBorders>
              <w:top w:val="nil"/>
              <w:left w:val="nil"/>
              <w:bottom w:val="single" w:sz="4" w:space="0" w:color="auto"/>
              <w:right w:val="single" w:sz="4" w:space="0" w:color="auto"/>
            </w:tcBorders>
            <w:shd w:val="clear" w:color="auto" w:fill="auto"/>
            <w:noWrap/>
            <w:vAlign w:val="bottom"/>
          </w:tcPr>
          <w:p w14:paraId="493CC9C3" w14:textId="77777777" w:rsidR="00A9149C" w:rsidRDefault="00A9149C" w:rsidP="00BD1E8D">
            <w:pPr>
              <w:overflowPunct/>
              <w:autoSpaceDE/>
              <w:autoSpaceDN/>
              <w:adjustRightInd/>
              <w:spacing w:after="0"/>
              <w:jc w:val="right"/>
              <w:textAlignment w:val="auto"/>
              <w:rPr>
                <w:rFonts w:eastAsia="Times New Roman"/>
                <w:color w:val="000000"/>
                <w:sz w:val="18"/>
                <w:szCs w:val="18"/>
                <w:lang w:val="en-US" w:eastAsia="ko-KR"/>
              </w:rPr>
            </w:pPr>
          </w:p>
        </w:tc>
        <w:tc>
          <w:tcPr>
            <w:tcW w:w="1701" w:type="dxa"/>
            <w:tcBorders>
              <w:top w:val="nil"/>
              <w:left w:val="nil"/>
              <w:bottom w:val="single" w:sz="4" w:space="0" w:color="auto"/>
              <w:right w:val="single" w:sz="4" w:space="0" w:color="auto"/>
            </w:tcBorders>
            <w:shd w:val="clear" w:color="auto" w:fill="auto"/>
            <w:noWrap/>
            <w:vAlign w:val="bottom"/>
          </w:tcPr>
          <w:p w14:paraId="3C152398" w14:textId="77777777" w:rsidR="00A9149C" w:rsidRDefault="00A9149C" w:rsidP="00BD1E8D">
            <w:pPr>
              <w:overflowPunct/>
              <w:autoSpaceDE/>
              <w:autoSpaceDN/>
              <w:adjustRightInd/>
              <w:spacing w:after="0"/>
              <w:jc w:val="right"/>
              <w:textAlignment w:val="auto"/>
              <w:rPr>
                <w:rFonts w:eastAsia="Times New Roman"/>
                <w:color w:val="000000"/>
                <w:sz w:val="18"/>
                <w:szCs w:val="18"/>
                <w:lang w:val="en-US" w:eastAsia="ko-KR"/>
              </w:rPr>
            </w:pPr>
          </w:p>
        </w:tc>
      </w:tr>
    </w:tbl>
    <w:p w14:paraId="5E5A616D" w14:textId="3C035A38" w:rsidR="00012C5C" w:rsidRDefault="00012C5C" w:rsidP="00012C5C">
      <w:pPr>
        <w:rPr>
          <w:rFonts w:eastAsia="Times New Roman"/>
          <w:color w:val="000000"/>
          <w:sz w:val="18"/>
          <w:szCs w:val="18"/>
          <w:lang w:val="en-US" w:eastAsia="ko-KR"/>
        </w:rPr>
      </w:pPr>
      <w:r w:rsidRPr="00C6688B">
        <w:rPr>
          <w:b/>
          <w:lang w:val="en-US"/>
        </w:rPr>
        <w:lastRenderedPageBreak/>
        <w:t>Note:</w:t>
      </w:r>
      <w:r>
        <w:rPr>
          <w:lang w:val="en-US"/>
        </w:rPr>
        <w:t xml:space="preserve"> If TX beam forming is considered, [Required SRS Number for beam/UE multiplexing] is divided by # of TX beams times of table number.</w:t>
      </w:r>
    </w:p>
    <w:p w14:paraId="4C587D38" w14:textId="01ED0866" w:rsidR="00012C5C" w:rsidRDefault="00012C5C" w:rsidP="00012C5C">
      <w:pPr>
        <w:rPr>
          <w:lang w:val="en-US"/>
        </w:rPr>
      </w:pPr>
      <w:r>
        <w:rPr>
          <w:lang w:val="en-US"/>
        </w:rPr>
        <w:t>The cases in bold</w:t>
      </w:r>
      <w:r w:rsidRPr="00AD4A9C">
        <w:rPr>
          <w:lang w:val="en-US"/>
        </w:rPr>
        <w:t xml:space="preserve"> are the configurations possible under Rel-15 SRS.</w:t>
      </w:r>
      <w:r>
        <w:rPr>
          <w:lang w:val="en-US"/>
        </w:rPr>
        <w:t xml:space="preserve"> Also, </w:t>
      </w:r>
      <w:r w:rsidRPr="00AD4A9C">
        <w:rPr>
          <w:lang w:val="en-US"/>
        </w:rPr>
        <w:t>Rel-15 SRS utilizes 12</w:t>
      </w:r>
      <w:r w:rsidR="00A9149C">
        <w:rPr>
          <w:lang w:val="en-US"/>
        </w:rPr>
        <w:t xml:space="preserve"> </w:t>
      </w:r>
      <w:r w:rsidRPr="00AD4A9C">
        <w:rPr>
          <w:lang w:val="en-US"/>
        </w:rPr>
        <w:t>CS for Comb-4 and 8</w:t>
      </w:r>
      <w:r w:rsidR="00A9149C">
        <w:rPr>
          <w:lang w:val="en-US"/>
        </w:rPr>
        <w:t xml:space="preserve"> </w:t>
      </w:r>
      <w:r w:rsidRPr="00AD4A9C">
        <w:rPr>
          <w:lang w:val="en-US"/>
        </w:rPr>
        <w:t xml:space="preserve">CS for Comb-2, but </w:t>
      </w:r>
      <w:r w:rsidR="00A9149C">
        <w:rPr>
          <w:lang w:val="en-US"/>
        </w:rPr>
        <w:t>t</w:t>
      </w:r>
      <w:r>
        <w:rPr>
          <w:lang w:val="en-US"/>
        </w:rPr>
        <w:t>here is no CS definition for Comb-6 and Comb-12 in the current discussion. In this table, 12 CS is assumed for Comb-6 and Comb-12 for UE calculation. If new comb-N &gt;4 structures are introduced, CS configuration Cyclic shift needs to be defined if Comb-6 or Comb-12 are proposed.</w:t>
      </w:r>
    </w:p>
    <w:p w14:paraId="79C8B963" w14:textId="77777777" w:rsidR="00012C5C" w:rsidRPr="00A47AC6" w:rsidRDefault="00012C5C" w:rsidP="00012C5C">
      <w:pPr>
        <w:rPr>
          <w:lang w:val="en-US"/>
        </w:rPr>
      </w:pPr>
      <w:r w:rsidRPr="5B73DA29">
        <w:rPr>
          <w:lang w:val="en-US"/>
        </w:rPr>
        <w:t xml:space="preserve">Different SRS ports should be able to be assigned for multiple UEs multiplexing. CS multiplexing does not guarantee orthogonality between multiplexed UEs. When time delay is long, inter UE interference is caused in channel estimation in the CS multiplexing. Although there is some performance caution in using CS, CS is widely used in LTE/NR RS port definitions as well as SRS port separation in Rel-15, and so will do in Rel-16 SRS. </w:t>
      </w:r>
    </w:p>
    <w:p w14:paraId="6BB50748" w14:textId="60E95B43" w:rsidR="00012C5C" w:rsidRPr="005A4E25" w:rsidRDefault="00012C5C" w:rsidP="00012C5C">
      <w:pPr>
        <w:rPr>
          <w:lang w:val="en-US"/>
        </w:rPr>
      </w:pPr>
      <w:r w:rsidRPr="5B73DA29">
        <w:rPr>
          <w:lang w:val="en-US"/>
        </w:rPr>
        <w:t>This table assumes omni-directional transmission per a UE, we count the number of UEs multiplexing in SRS resources through TDM, FDM and CS-multiplexing. However, if assuming TX beamforming and transmission toward neighbor cells, more resources are required. If TX beamforming is assumed, the current resource with 6-symbols allocations are used up easily. It needs symbol extension in Rel-16 SRS design for MU. For example, if a UE has multiple TX beams, th</w:t>
      </w:r>
      <w:r w:rsidRPr="005A4E25">
        <w:rPr>
          <w:lang w:val="en-US"/>
        </w:rPr>
        <w:t xml:space="preserve">e numbers of UE capacity in Table </w:t>
      </w:r>
      <w:r w:rsidRPr="007A442B">
        <w:rPr>
          <w:lang w:val="en-US"/>
        </w:rPr>
        <w:t>2</w:t>
      </w:r>
      <w:r w:rsidRPr="005A4E25">
        <w:rPr>
          <w:lang w:val="en-US"/>
        </w:rPr>
        <w:t xml:space="preserve"> is further reduced by dividing by the number of TX beams further, which means SRS resources per a TX beam per a UE.</w:t>
      </w:r>
    </w:p>
    <w:p w14:paraId="66BB8DA0" w14:textId="33F54CAB" w:rsidR="00012C5C" w:rsidRPr="007A442B" w:rsidRDefault="00012C5C" w:rsidP="007A442B">
      <w:pPr>
        <w:rPr>
          <w:lang w:val="en-US"/>
        </w:rPr>
      </w:pPr>
      <w:r w:rsidRPr="007A442B">
        <w:rPr>
          <w:b/>
          <w:lang w:val="en-US"/>
        </w:rPr>
        <w:t xml:space="preserve">Observation </w:t>
      </w:r>
      <w:r w:rsidR="00153A08">
        <w:rPr>
          <w:b/>
          <w:lang w:val="en-US"/>
        </w:rPr>
        <w:t>1</w:t>
      </w:r>
      <w:r w:rsidRPr="005A4E25">
        <w:rPr>
          <w:lang w:val="en-US"/>
        </w:rPr>
        <w:t>: If TX beamforming is assumed, the current resource with 6-symbols allocations are used up easily. It needs symbol extension in Rel-16 SRS design for MU.</w:t>
      </w:r>
    </w:p>
    <w:p w14:paraId="42FFC8BD" w14:textId="54C98A42" w:rsidR="00012C5C" w:rsidRPr="007A442B" w:rsidRDefault="00012C5C" w:rsidP="007A442B">
      <w:pPr>
        <w:rPr>
          <w:lang w:val="en-US"/>
        </w:rPr>
      </w:pPr>
      <w:r w:rsidRPr="007A442B">
        <w:rPr>
          <w:b/>
          <w:bCs/>
        </w:rPr>
        <w:t xml:space="preserve">Proposal </w:t>
      </w:r>
      <w:r w:rsidR="00153A08">
        <w:rPr>
          <w:b/>
          <w:bCs/>
        </w:rPr>
        <w:t>2</w:t>
      </w:r>
      <w:r w:rsidRPr="007A442B">
        <w:rPr>
          <w:b/>
          <w:bCs/>
        </w:rPr>
        <w:t xml:space="preserve">: </w:t>
      </w:r>
      <w:r w:rsidRPr="005A4E25">
        <w:rPr>
          <w:bCs/>
        </w:rPr>
        <w:t>Extend the number SRS symbols from {1,2,4} symbols to at least {1,2,4,6} symbols for orthogonal UE multiplexing capacity.</w:t>
      </w:r>
    </w:p>
    <w:p w14:paraId="69C4CC7B" w14:textId="1937202C" w:rsidR="00012C5C" w:rsidRPr="005A4E25" w:rsidRDefault="00012C5C" w:rsidP="00012C5C">
      <w:pPr>
        <w:rPr>
          <w:lang w:val="en-US"/>
        </w:rPr>
      </w:pPr>
      <w:r w:rsidRPr="005A4E25">
        <w:rPr>
          <w:lang w:val="en-US"/>
        </w:rPr>
        <w:t xml:space="preserve">Also, as analyzed in Table </w:t>
      </w:r>
      <w:r w:rsidRPr="007A442B">
        <w:rPr>
          <w:lang w:val="en-US"/>
        </w:rPr>
        <w:t>2</w:t>
      </w:r>
      <w:r w:rsidRPr="005A4E25">
        <w:rPr>
          <w:lang w:val="en-US"/>
        </w:rPr>
        <w:t xml:space="preserve">, we propose to extend the last 6-symbols allocation to the last 12 symbols. The 6 staggering symbol structure can be fit in the 12 symbols from the table above. </w:t>
      </w:r>
    </w:p>
    <w:p w14:paraId="2653A313" w14:textId="26D298A2" w:rsidR="00012C5C" w:rsidRDefault="00012C5C" w:rsidP="00012C5C">
      <w:pPr>
        <w:rPr>
          <w:b/>
          <w:i/>
          <w:sz w:val="24"/>
          <w:szCs w:val="24"/>
          <w:highlight w:val="yellow"/>
          <w:u w:val="single"/>
          <w:lang w:val="en-US"/>
        </w:rPr>
      </w:pPr>
      <w:r w:rsidRPr="007A442B">
        <w:rPr>
          <w:b/>
          <w:bCs/>
        </w:rPr>
        <w:t xml:space="preserve">Proposal </w:t>
      </w:r>
      <w:r w:rsidR="00153A08">
        <w:rPr>
          <w:b/>
          <w:bCs/>
        </w:rPr>
        <w:t>3</w:t>
      </w:r>
      <w:r w:rsidRPr="007A442B">
        <w:rPr>
          <w:b/>
          <w:bCs/>
        </w:rPr>
        <w:t>:</w:t>
      </w:r>
      <w:r w:rsidRPr="005A4E25">
        <w:t xml:space="preserve"> </w:t>
      </w:r>
      <w:r w:rsidRPr="005A4E25">
        <w:rPr>
          <w:lang w:val="en-US"/>
        </w:rPr>
        <w:t>Extend</w:t>
      </w:r>
      <w:r>
        <w:rPr>
          <w:lang w:val="en-US"/>
        </w:rPr>
        <w:t xml:space="preserve"> Rel-15 SRS symbol allocations from the last 6-symbols to the last 12 symbols.</w:t>
      </w:r>
    </w:p>
    <w:p w14:paraId="71A3DC67" w14:textId="77777777" w:rsidR="00012C5C" w:rsidRPr="0020029B" w:rsidRDefault="00012C5C" w:rsidP="00012C5C">
      <w:pPr>
        <w:rPr>
          <w:b/>
          <w:i/>
          <w:sz w:val="24"/>
          <w:szCs w:val="24"/>
          <w:u w:val="single"/>
          <w:lang w:val="en-US"/>
        </w:rPr>
      </w:pPr>
      <w:r w:rsidRPr="0020029B">
        <w:rPr>
          <w:b/>
          <w:i/>
          <w:sz w:val="24"/>
          <w:szCs w:val="24"/>
          <w:u w:val="single"/>
          <w:lang w:val="en-US"/>
        </w:rPr>
        <w:t>SRS resource configuration with staggered REs</w:t>
      </w:r>
    </w:p>
    <w:p w14:paraId="364B46B7" w14:textId="454D58D4" w:rsidR="00012C5C" w:rsidRPr="005A4E25" w:rsidRDefault="00012C5C" w:rsidP="00012C5C">
      <w:pPr>
        <w:rPr>
          <w:lang w:val="en-US"/>
        </w:rPr>
      </w:pPr>
      <w:r w:rsidRPr="005A4E25">
        <w:rPr>
          <w:lang w:val="en-US"/>
        </w:rPr>
        <w:t xml:space="preserve">In the last meeting, most of companies support the staggering RE structure. Figure </w:t>
      </w:r>
      <w:r w:rsidR="00A9149C" w:rsidRPr="007A442B">
        <w:rPr>
          <w:lang w:val="en-US"/>
        </w:rPr>
        <w:t>3</w:t>
      </w:r>
      <w:r w:rsidRPr="007A442B">
        <w:rPr>
          <w:lang w:val="en-US"/>
        </w:rPr>
        <w:t>-(a)</w:t>
      </w:r>
      <w:r w:rsidRPr="005A4E25">
        <w:rPr>
          <w:lang w:val="en-US"/>
        </w:rPr>
        <w:t xml:space="preserve"> is possible by Rel-15 SRS symbol repetition, spatial relation information is configured per </w:t>
      </w:r>
      <w:proofErr w:type="gramStart"/>
      <w:r w:rsidRPr="005A4E25">
        <w:rPr>
          <w:lang w:val="en-US"/>
        </w:rPr>
        <w:t>a</w:t>
      </w:r>
      <w:proofErr w:type="gramEnd"/>
      <w:r w:rsidRPr="005A4E25">
        <w:rPr>
          <w:lang w:val="en-US"/>
        </w:rPr>
        <w:t xml:space="preserve"> SRS resource configuration, which means one SRS resource is an unit of a beam configuration. For example, if needing to change a spatial information for beam sweeping, four of SRS resource can be configured as Figure </w:t>
      </w:r>
      <w:r w:rsidR="00A9149C" w:rsidRPr="007A442B">
        <w:rPr>
          <w:lang w:val="en-US"/>
        </w:rPr>
        <w:t>3</w:t>
      </w:r>
      <w:r w:rsidRPr="007A442B">
        <w:rPr>
          <w:lang w:val="en-US"/>
        </w:rPr>
        <w:t>-(a)</w:t>
      </w:r>
    </w:p>
    <w:p w14:paraId="00E4B885" w14:textId="48D5D6D3" w:rsidR="00012C5C" w:rsidRDefault="00012C5C" w:rsidP="00012C5C">
      <w:pPr>
        <w:rPr>
          <w:lang w:val="en-US"/>
        </w:rPr>
      </w:pPr>
      <w:r w:rsidRPr="005A4E25">
        <w:rPr>
          <w:lang w:val="en-US"/>
        </w:rPr>
        <w:t xml:space="preserve">The staggering structure in Figure </w:t>
      </w:r>
      <w:r w:rsidR="00A9149C" w:rsidRPr="007A442B">
        <w:rPr>
          <w:lang w:val="en-US"/>
        </w:rPr>
        <w:t>3</w:t>
      </w:r>
      <w:r w:rsidRPr="005A4E25">
        <w:rPr>
          <w:lang w:val="en-US"/>
        </w:rPr>
        <w:t xml:space="preserve">-(b) may be able to be configured with the same configuration concept. One intention </w:t>
      </w:r>
      <w:r w:rsidR="00BA55C3">
        <w:rPr>
          <w:lang w:val="en-US"/>
        </w:rPr>
        <w:t xml:space="preserve">of </w:t>
      </w:r>
      <w:r w:rsidRPr="005A4E25">
        <w:rPr>
          <w:lang w:val="en-US"/>
        </w:rPr>
        <w:t>making the staggering structure is to construct a full channel estimation from</w:t>
      </w:r>
      <w:r w:rsidRPr="5B73DA29">
        <w:rPr>
          <w:lang w:val="en-US"/>
        </w:rPr>
        <w:t xml:space="preserve"> comb </w:t>
      </w:r>
      <w:proofErr w:type="spellStart"/>
      <w:r w:rsidRPr="5B73DA29">
        <w:rPr>
          <w:lang w:val="en-US"/>
        </w:rPr>
        <w:t>REs.</w:t>
      </w:r>
      <w:proofErr w:type="spellEnd"/>
      <w:r w:rsidRPr="5B73DA29">
        <w:rPr>
          <w:lang w:val="en-US"/>
        </w:rPr>
        <w:t xml:space="preserve"> Therefore, the spatial information needs to be sustained in all staggered </w:t>
      </w:r>
      <w:proofErr w:type="spellStart"/>
      <w:r w:rsidRPr="5B73DA29">
        <w:rPr>
          <w:lang w:val="en-US"/>
        </w:rPr>
        <w:t>REs.</w:t>
      </w:r>
      <w:proofErr w:type="spellEnd"/>
      <w:r w:rsidRPr="5B73DA29">
        <w:rPr>
          <w:lang w:val="en-US"/>
        </w:rPr>
        <w:t xml:space="preserve"> In options below, we think option-(</w:t>
      </w:r>
      <w:proofErr w:type="spellStart"/>
      <w:r w:rsidRPr="5B73DA29">
        <w:rPr>
          <w:lang w:val="en-US"/>
        </w:rPr>
        <w:t>i</w:t>
      </w:r>
      <w:proofErr w:type="spellEnd"/>
      <w:r w:rsidRPr="5B73DA29">
        <w:rPr>
          <w:lang w:val="en-US"/>
        </w:rPr>
        <w:t xml:space="preserve">) is more reasonable.  </w:t>
      </w:r>
    </w:p>
    <w:p w14:paraId="61877838" w14:textId="77777777" w:rsidR="00012C5C" w:rsidRPr="00F06E10" w:rsidRDefault="00012C5C" w:rsidP="00012C5C">
      <w:pPr>
        <w:rPr>
          <w:i/>
        </w:rPr>
      </w:pPr>
      <w:r>
        <w:rPr>
          <w:i/>
          <w:highlight w:val="green"/>
        </w:rPr>
        <w:t xml:space="preserve">RAN1-96bis </w:t>
      </w:r>
      <w:r w:rsidRPr="00F06E10">
        <w:rPr>
          <w:i/>
          <w:highlight w:val="green"/>
        </w:rPr>
        <w:t>Agreement:</w:t>
      </w:r>
    </w:p>
    <w:p w14:paraId="251BD523" w14:textId="77777777" w:rsidR="00012C5C" w:rsidRPr="00852B2B" w:rsidRDefault="00012C5C" w:rsidP="00012C5C">
      <w:pPr>
        <w:rPr>
          <w:i/>
        </w:rPr>
      </w:pPr>
      <w:r w:rsidRPr="00852B2B">
        <w:rPr>
          <w:i/>
        </w:rPr>
        <w:t>Select one or both of the following options to support staggered SRS transmissions for UL SRS positioning</w:t>
      </w:r>
    </w:p>
    <w:p w14:paraId="37CC6805" w14:textId="77777777" w:rsidR="00012C5C" w:rsidRPr="00852B2B" w:rsidRDefault="00012C5C" w:rsidP="00012C5C">
      <w:pPr>
        <w:numPr>
          <w:ilvl w:val="0"/>
          <w:numId w:val="23"/>
        </w:numPr>
        <w:overflowPunct/>
        <w:autoSpaceDE/>
        <w:autoSpaceDN/>
        <w:adjustRightInd/>
        <w:spacing w:after="0"/>
        <w:textAlignment w:val="auto"/>
        <w:rPr>
          <w:i/>
        </w:rPr>
      </w:pPr>
      <w:r w:rsidRPr="00852B2B">
        <w:rPr>
          <w:i/>
        </w:rPr>
        <w:t>Staggered patterns (a collection of SRS symbols from the same antenna port with different offsets for at least some symbols) in a single SRS resource</w:t>
      </w:r>
    </w:p>
    <w:p w14:paraId="1193A7B7" w14:textId="6402DAE4" w:rsidR="00A9149C" w:rsidRPr="00852B2B" w:rsidRDefault="00012C5C" w:rsidP="00012C5C">
      <w:pPr>
        <w:numPr>
          <w:ilvl w:val="0"/>
          <w:numId w:val="23"/>
        </w:numPr>
        <w:overflowPunct/>
        <w:autoSpaceDE/>
        <w:autoSpaceDN/>
        <w:adjustRightInd/>
        <w:spacing w:after="0"/>
        <w:textAlignment w:val="auto"/>
        <w:rPr>
          <w:i/>
        </w:rPr>
      </w:pPr>
      <w:r w:rsidRPr="00852B2B">
        <w:rPr>
          <w:i/>
        </w:rPr>
        <w:t xml:space="preserve">Configuration of the same antenna port for the transmission of SRS symbols in different SRS resources in </w:t>
      </w:r>
      <w:proofErr w:type="gramStart"/>
      <w:r w:rsidRPr="00852B2B">
        <w:rPr>
          <w:i/>
        </w:rPr>
        <w:t>a</w:t>
      </w:r>
      <w:proofErr w:type="gramEnd"/>
      <w:r w:rsidRPr="00852B2B">
        <w:rPr>
          <w:i/>
        </w:rPr>
        <w:t xml:space="preserve"> SRS resource set.</w:t>
      </w:r>
    </w:p>
    <w:p w14:paraId="45B308F3" w14:textId="77777777" w:rsidR="00012C5C" w:rsidRDefault="00012C5C" w:rsidP="007A442B">
      <w:pPr>
        <w:overflowPunct/>
        <w:autoSpaceDE/>
        <w:autoSpaceDN/>
        <w:adjustRightInd/>
        <w:spacing w:after="0"/>
        <w:ind w:left="720"/>
        <w:textAlignment w:val="auto"/>
      </w:pPr>
    </w:p>
    <w:p w14:paraId="2DF79D5C" w14:textId="7A67DABD" w:rsidR="00012C5C" w:rsidRDefault="00012C5C" w:rsidP="007A442B">
      <w:r>
        <w:t xml:space="preserve">However, we see that option-(ii) can still work for SRS configurations in simple cases. Perhaps, a benefit of option-(ii) seems to make very flexible structure of SRS. One difficulty is found regarding </w:t>
      </w:r>
      <w:r w:rsidRPr="5B73DA29">
        <w:rPr>
          <w:lang w:val="en-US"/>
        </w:rPr>
        <w:t xml:space="preserve">the maximum number of SRS resource configuration = 64 under Rel-15. In option-(ii), many SRS resource configuration is required to </w:t>
      </w:r>
      <w:r w:rsidRPr="005A4E25">
        <w:rPr>
          <w:lang w:val="en-US"/>
        </w:rPr>
        <w:t xml:space="preserve">express Figure </w:t>
      </w:r>
      <w:r w:rsidR="00A9149C" w:rsidRPr="007A442B">
        <w:rPr>
          <w:lang w:val="en-US"/>
        </w:rPr>
        <w:t>3</w:t>
      </w:r>
      <w:r w:rsidRPr="007A442B">
        <w:rPr>
          <w:lang w:val="en-US"/>
        </w:rPr>
        <w:t>-(b)</w:t>
      </w:r>
      <w:r w:rsidRPr="005A4E25">
        <w:rPr>
          <w:lang w:val="en-US"/>
        </w:rPr>
        <w:t xml:space="preserve"> RE</w:t>
      </w:r>
      <w:r w:rsidRPr="5B73DA29">
        <w:rPr>
          <w:lang w:val="en-US"/>
        </w:rPr>
        <w:t xml:space="preserve"> structure with large comb size if adopting comb-6 or comb-12, it will exceed the Rel-15 allowances. Also, it causes signaling redundancy unnecessarily even for a simple structure of SRS transmission.  </w:t>
      </w:r>
    </w:p>
    <w:p w14:paraId="0F5CAE79" w14:textId="77777777" w:rsidR="00012C5C" w:rsidRDefault="00012C5C" w:rsidP="00012C5C">
      <w:pPr>
        <w:jc w:val="center"/>
      </w:pPr>
      <w:r>
        <w:object w:dxaOrig="2311" w:dyaOrig="2470" w14:anchorId="48E2284D">
          <v:shape id="_x0000_i1027" type="#_x0000_t75" style="width:115.5pt;height:123.75pt" o:ole="">
            <v:imagedata r:id="rId18" o:title=""/>
          </v:shape>
          <o:OLEObject Type="Embed" ProgID="Visio.Drawing.15" ShapeID="_x0000_i1027" DrawAspect="Content" ObjectID="_1618391823" r:id="rId19"/>
        </w:object>
      </w:r>
      <w:r>
        <w:object w:dxaOrig="2251" w:dyaOrig="2511" w14:anchorId="2730E85E">
          <v:shape id="_x0000_i1028" type="#_x0000_t75" style="width:113.25pt;height:126pt" o:ole="">
            <v:imagedata r:id="rId20" o:title=""/>
          </v:shape>
          <o:OLEObject Type="Embed" ProgID="Visio.Drawing.15" ShapeID="_x0000_i1028" DrawAspect="Content" ObjectID="_1618391824" r:id="rId21"/>
        </w:object>
      </w:r>
    </w:p>
    <w:p w14:paraId="719E2432" w14:textId="77777777" w:rsidR="00012C5C" w:rsidRDefault="00012C5C" w:rsidP="00012C5C">
      <w:pPr>
        <w:jc w:val="center"/>
        <w:rPr>
          <w:lang w:val="en-US"/>
        </w:rPr>
      </w:pPr>
      <w:r w:rsidRPr="5B73DA29">
        <w:rPr>
          <w:lang w:val="en-US"/>
        </w:rPr>
        <w:t xml:space="preserve">(a)                                </w:t>
      </w:r>
      <w:proofErr w:type="gramStart"/>
      <w:r w:rsidRPr="5B73DA29">
        <w:rPr>
          <w:lang w:val="en-US"/>
        </w:rPr>
        <w:t xml:space="preserve">   (</w:t>
      </w:r>
      <w:proofErr w:type="gramEnd"/>
      <w:r w:rsidRPr="5B73DA29">
        <w:rPr>
          <w:lang w:val="en-US"/>
        </w:rPr>
        <w:t>b)</w:t>
      </w:r>
    </w:p>
    <w:p w14:paraId="4A152F01" w14:textId="1A45440F" w:rsidR="00012C5C" w:rsidRDefault="00012C5C" w:rsidP="007A442B">
      <w:pPr>
        <w:jc w:val="center"/>
        <w:rPr>
          <w:lang w:val="en-US"/>
        </w:rPr>
      </w:pPr>
      <w:r w:rsidRPr="007A442B">
        <w:rPr>
          <w:b/>
          <w:lang w:val="en-US"/>
        </w:rPr>
        <w:t xml:space="preserve">Figure </w:t>
      </w:r>
      <w:r w:rsidR="00A9149C" w:rsidRPr="007A442B">
        <w:rPr>
          <w:b/>
          <w:lang w:val="en-US"/>
        </w:rPr>
        <w:t>3</w:t>
      </w:r>
      <w:r>
        <w:rPr>
          <w:lang w:val="en-US"/>
        </w:rPr>
        <w:t>. Beam sweeping support with Rel-16 SRS allocation</w:t>
      </w:r>
    </w:p>
    <w:p w14:paraId="45F6C7B0" w14:textId="4E9F3212" w:rsidR="00A9149C" w:rsidRPr="00F1413F" w:rsidRDefault="00012C5C" w:rsidP="00012C5C">
      <w:pPr>
        <w:overflowPunct/>
        <w:autoSpaceDE/>
        <w:autoSpaceDN/>
        <w:adjustRightInd/>
        <w:spacing w:after="0"/>
        <w:textAlignment w:val="auto"/>
        <w:rPr>
          <w:i/>
          <w:iCs/>
        </w:rPr>
      </w:pPr>
      <w:r w:rsidRPr="007A442B">
        <w:rPr>
          <w:b/>
          <w:bCs/>
          <w:lang w:val="en-US"/>
        </w:rPr>
        <w:t xml:space="preserve">Proposal </w:t>
      </w:r>
      <w:r w:rsidR="00153A08">
        <w:rPr>
          <w:b/>
          <w:bCs/>
          <w:lang w:val="en-US"/>
        </w:rPr>
        <w:t>4</w:t>
      </w:r>
      <w:r w:rsidRPr="007A442B">
        <w:rPr>
          <w:lang w:val="en-US"/>
        </w:rPr>
        <w:t xml:space="preserve">: </w:t>
      </w:r>
      <w:r w:rsidRPr="005A4E25">
        <w:rPr>
          <w:lang w:val="en-US"/>
        </w:rPr>
        <w:t>We</w:t>
      </w:r>
      <w:r w:rsidRPr="5B73DA29">
        <w:rPr>
          <w:lang w:val="en-US"/>
        </w:rPr>
        <w:t xml:space="preserve"> prefer option-1 of s</w:t>
      </w:r>
      <w:proofErr w:type="spellStart"/>
      <w:r w:rsidRPr="5B73DA29">
        <w:rPr>
          <w:i/>
          <w:iCs/>
        </w:rPr>
        <w:t>taggered</w:t>
      </w:r>
      <w:proofErr w:type="spellEnd"/>
      <w:r w:rsidRPr="5B73DA29">
        <w:rPr>
          <w:i/>
          <w:iCs/>
        </w:rPr>
        <w:t xml:space="preserve"> patterns in a single SRS resource</w:t>
      </w:r>
      <w:r w:rsidRPr="5B73DA29">
        <w:rPr>
          <w:lang w:val="en-US"/>
        </w:rPr>
        <w:t xml:space="preserve">. </w:t>
      </w:r>
    </w:p>
    <w:p w14:paraId="3A64F79C" w14:textId="77777777" w:rsidR="00012C5C" w:rsidRDefault="00012C5C" w:rsidP="007A442B">
      <w:pPr>
        <w:overflowPunct/>
        <w:autoSpaceDE/>
        <w:autoSpaceDN/>
        <w:adjustRightInd/>
        <w:spacing w:after="0"/>
        <w:textAlignment w:val="auto"/>
        <w:rPr>
          <w:lang w:val="en-US"/>
        </w:rPr>
      </w:pPr>
    </w:p>
    <w:p w14:paraId="4E7BE7A6" w14:textId="77777777" w:rsidR="00012C5C" w:rsidRPr="0020029B" w:rsidRDefault="00012C5C" w:rsidP="00012C5C">
      <w:pPr>
        <w:rPr>
          <w:b/>
          <w:i/>
          <w:sz w:val="24"/>
          <w:szCs w:val="24"/>
          <w:u w:val="single"/>
          <w:lang w:val="en-US"/>
        </w:rPr>
      </w:pPr>
      <w:r w:rsidRPr="0020029B">
        <w:rPr>
          <w:b/>
          <w:i/>
          <w:sz w:val="24"/>
          <w:szCs w:val="24"/>
          <w:u w:val="single"/>
          <w:lang w:val="en-US"/>
        </w:rPr>
        <w:t>Number of SRS sequences-ID</w:t>
      </w:r>
    </w:p>
    <w:p w14:paraId="044481F6" w14:textId="1A4AA321" w:rsidR="00012C5C" w:rsidRDefault="00012C5C" w:rsidP="00012C5C">
      <w:pPr>
        <w:rPr>
          <w:b/>
          <w:bCs/>
          <w:lang w:val="en-US"/>
        </w:rPr>
      </w:pPr>
      <w:r w:rsidRPr="5B73DA29">
        <w:rPr>
          <w:lang w:val="en-US"/>
        </w:rPr>
        <w:t xml:space="preserve">In the last meeting, there was a proposal </w:t>
      </w:r>
      <w:r>
        <w:t>to extend bit width of parameter sequence-Id of the SRS resource configuration from 10-bits to longer (i.e. 16 bits)</w:t>
      </w:r>
      <w:r w:rsidR="00E779D1">
        <w:t xml:space="preserve"> [</w:t>
      </w:r>
      <w:r w:rsidR="005A4E25">
        <w:t>9</w:t>
      </w:r>
      <w:r w:rsidR="00E779D1">
        <w:t>]</w:t>
      </w:r>
      <w:r>
        <w:t xml:space="preserve">. For performance, it will be good to obtain more randomness in code multiplexing. However, it would be ideal to investigate the number of UE capacity multiplexed in orthogonal manners as we discussed above first. Random code multiplexing belongs to quasi-orthogonal manners, and it works on the top of orthogonal resource allocation first. If the discussion of MU multiplexing finds a specific issue of lack of sequence ID, then the further code multiplexing can be considered. </w:t>
      </w:r>
    </w:p>
    <w:p w14:paraId="02F3E761" w14:textId="7ECFDF63" w:rsidR="00012C5C" w:rsidRDefault="00012C5C" w:rsidP="00012C5C">
      <w:pPr>
        <w:rPr>
          <w:lang w:val="en-US"/>
        </w:rPr>
      </w:pPr>
      <w:r w:rsidRPr="007A442B">
        <w:rPr>
          <w:b/>
          <w:bCs/>
          <w:lang w:val="en-US"/>
        </w:rPr>
        <w:t xml:space="preserve">Proposal </w:t>
      </w:r>
      <w:r w:rsidR="00153A08">
        <w:rPr>
          <w:b/>
          <w:bCs/>
          <w:lang w:val="en-US"/>
        </w:rPr>
        <w:t>5</w:t>
      </w:r>
      <w:r w:rsidRPr="007A442B">
        <w:rPr>
          <w:lang w:val="en-US"/>
        </w:rPr>
        <w:t xml:space="preserve">: </w:t>
      </w:r>
      <w:r w:rsidRPr="5B73DA29">
        <w:rPr>
          <w:lang w:val="en-US"/>
        </w:rPr>
        <w:t>First study UE multiplexing capacity in orthogonal manners through comb and symbol structures. If finding issues regarding lack of UE capacity, then consider modifying the number of code sequences ID.</w:t>
      </w:r>
    </w:p>
    <w:p w14:paraId="3D1FB0B6" w14:textId="3B7F56EE" w:rsidR="00012C5C" w:rsidRDefault="00012C5C" w:rsidP="00012C5C">
      <w:pPr>
        <w:rPr>
          <w:lang w:val="en-US"/>
        </w:rPr>
      </w:pPr>
      <w:r w:rsidRPr="00023F1C">
        <w:rPr>
          <w:b/>
          <w:i/>
          <w:sz w:val="24"/>
          <w:szCs w:val="24"/>
          <w:u w:val="single"/>
          <w:lang w:val="en-US"/>
        </w:rPr>
        <w:t>Timing Advanced and Transmission Power Control</w:t>
      </w:r>
    </w:p>
    <w:p w14:paraId="03CB1AE6" w14:textId="71A93658" w:rsidR="00012C5C" w:rsidRDefault="00012C5C" w:rsidP="00012C5C">
      <w:pPr>
        <w:rPr>
          <w:lang w:eastAsia="ko-KR"/>
        </w:rPr>
      </w:pPr>
      <w:r>
        <w:t>In NR systems, Rel-15 NR SRS transmission is configured for an individual UE-specific configuration by a serving cell, while LTE systems supports both a cell specific and a UE specific configuration. It is desirable to study for neighbour cell hearability through TA and TPC improvement associated with neighbour cells based on UE specific manners in NR systems. We observe that TA mis-alignment is one</w:t>
      </w:r>
      <w:r w:rsidR="00BA55C3">
        <w:t xml:space="preserve"> reason</w:t>
      </w:r>
      <w:r>
        <w:t xml:space="preserve"> </w:t>
      </w:r>
      <w:r w:rsidR="00BA55C3">
        <w:t>for</w:t>
      </w:r>
      <w:r>
        <w:t xml:space="preserve"> the poor hearability in neighbour cell side. Especially, NR systems can operate with various NR numerology, there exist short OFDM symbols and short CP length. If TA values are not adjusted properly, UL hearability can be very poor despite whatever efforts. Also, TX power control targeting only at the serving cell causes an issue of neighbour cell </w:t>
      </w:r>
      <w:r w:rsidRPr="5B73DA29">
        <w:rPr>
          <w:lang w:eastAsia="ko-KR"/>
        </w:rPr>
        <w:t xml:space="preserve">hearability. This is one part of Rel-16 SRS </w:t>
      </w:r>
      <w:r w:rsidR="00BA55C3">
        <w:rPr>
          <w:lang w:eastAsia="ko-KR"/>
        </w:rPr>
        <w:t xml:space="preserve">that </w:t>
      </w:r>
      <w:r w:rsidRPr="5B73DA29">
        <w:rPr>
          <w:lang w:eastAsia="ko-KR"/>
        </w:rPr>
        <w:t xml:space="preserve">can be improved for UL positioning as well. </w:t>
      </w:r>
    </w:p>
    <w:p w14:paraId="21D3A8CC" w14:textId="7CADFC51" w:rsidR="00012C5C" w:rsidRPr="00E70E52" w:rsidRDefault="00012C5C" w:rsidP="00012C5C">
      <w:pPr>
        <w:rPr>
          <w:lang w:val="en-US"/>
        </w:rPr>
      </w:pPr>
      <w:r w:rsidRPr="007A442B">
        <w:rPr>
          <w:b/>
          <w:lang w:val="en-US"/>
        </w:rPr>
        <w:t xml:space="preserve">Proposal </w:t>
      </w:r>
      <w:r w:rsidR="00153A08">
        <w:rPr>
          <w:b/>
          <w:lang w:val="en-US"/>
        </w:rPr>
        <w:t>6</w:t>
      </w:r>
      <w:r w:rsidRPr="007A442B">
        <w:rPr>
          <w:lang w:val="en-US"/>
        </w:rPr>
        <w:t xml:space="preserve">: </w:t>
      </w:r>
      <w:r w:rsidRPr="005A4E25">
        <w:rPr>
          <w:lang w:val="en-US"/>
        </w:rPr>
        <w:t>Study</w:t>
      </w:r>
      <w:r w:rsidRPr="00FC6060">
        <w:rPr>
          <w:lang w:val="en-US"/>
        </w:rPr>
        <w:t xml:space="preserve"> UE specific TA and TPC control mechanisms for neighbor cell hearability improvements.</w:t>
      </w:r>
    </w:p>
    <w:p w14:paraId="1210B0FE" w14:textId="2C262CA4" w:rsidR="00012C5C" w:rsidRDefault="00A9149C" w:rsidP="007A442B">
      <w:pPr>
        <w:jc w:val="both"/>
        <w:rPr>
          <w:lang w:val="en-US"/>
        </w:rPr>
      </w:pPr>
      <w:r>
        <w:rPr>
          <w:szCs w:val="22"/>
          <w:lang w:val="en-US"/>
        </w:rPr>
        <w:t>In our companion</w:t>
      </w:r>
      <w:r w:rsidR="00012C5C">
        <w:rPr>
          <w:szCs w:val="22"/>
          <w:lang w:val="en-US"/>
        </w:rPr>
        <w:t xml:space="preserve"> contribution</w:t>
      </w:r>
      <w:r>
        <w:rPr>
          <w:szCs w:val="22"/>
          <w:lang w:val="en-US"/>
        </w:rPr>
        <w:t>, [4],</w:t>
      </w:r>
      <w:r w:rsidR="00012C5C">
        <w:rPr>
          <w:szCs w:val="22"/>
          <w:lang w:val="en-US"/>
        </w:rPr>
        <w:t xml:space="preserve"> </w:t>
      </w:r>
      <w:r>
        <w:rPr>
          <w:szCs w:val="22"/>
          <w:lang w:val="en-US"/>
        </w:rPr>
        <w:t>we</w:t>
      </w:r>
      <w:r w:rsidR="00012C5C">
        <w:rPr>
          <w:szCs w:val="22"/>
          <w:lang w:val="en-US"/>
        </w:rPr>
        <w:t xml:space="preserve"> address details.</w:t>
      </w:r>
    </w:p>
    <w:p w14:paraId="57E9CF29" w14:textId="06ACE700" w:rsidR="00012C5C" w:rsidRDefault="00012C5C" w:rsidP="00012C5C">
      <w:r w:rsidRPr="002C060B">
        <w:rPr>
          <w:b/>
          <w:i/>
          <w:sz w:val="24"/>
          <w:szCs w:val="24"/>
          <w:u w:val="single"/>
          <w:lang w:val="en-US"/>
        </w:rPr>
        <w:t>New usage of Rel-16 SRS for positioning purpose</w:t>
      </w:r>
    </w:p>
    <w:p w14:paraId="3FBD3DB9" w14:textId="77777777" w:rsidR="00012C5C" w:rsidRPr="00852B2B" w:rsidRDefault="00012C5C" w:rsidP="00012C5C">
      <w:r>
        <w:t>From the discussions and observations, we can identify specific SRS configurations for positioning purpose. We discuss about SRS resource allocation, TA, TPC and beamforming, and these features are required only for positioning, but not for sounding. Rel-15 SRS has been defined for sounding and UL CSI purpose, of which configurations are differentiated from positioning purpose. In conclusion, NR positioning reference signal can be designed based on Rel-15 SRS framework, but NR positioning SRS has specific purposes, configurations and TX behaviours. Therefore, a network should be able to configure Rel-16 positioning SRS configurations separately from Rel-15 SRS configurations. </w:t>
      </w:r>
    </w:p>
    <w:p w14:paraId="0CE62AB4" w14:textId="0A5062F7" w:rsidR="009B3B09" w:rsidRPr="00E1652F" w:rsidRDefault="00012C5C" w:rsidP="5B7ECE71">
      <w:r w:rsidRPr="007A442B">
        <w:rPr>
          <w:b/>
          <w:bCs/>
          <w:lang w:val="en-US"/>
        </w:rPr>
        <w:t xml:space="preserve">Proposal </w:t>
      </w:r>
      <w:r w:rsidR="00153A08">
        <w:rPr>
          <w:b/>
          <w:bCs/>
          <w:lang w:val="en-US"/>
        </w:rPr>
        <w:t>7</w:t>
      </w:r>
      <w:r w:rsidRPr="007A442B">
        <w:rPr>
          <w:b/>
          <w:bCs/>
          <w:lang w:val="en-US"/>
        </w:rPr>
        <w:t>:</w:t>
      </w:r>
      <w:r w:rsidRPr="007A442B">
        <w:rPr>
          <w:lang w:val="en-US"/>
        </w:rPr>
        <w:t xml:space="preserve"> </w:t>
      </w:r>
      <w:r w:rsidRPr="00852B2B">
        <w:rPr>
          <w:lang w:val="en-US"/>
        </w:rPr>
        <w:t xml:space="preserve">Define a new usage of Rel-16 SRS for positioning purpose. </w:t>
      </w:r>
      <w:bookmarkEnd w:id="2"/>
    </w:p>
    <w:p w14:paraId="10445A01" w14:textId="480CC7E1" w:rsidR="00885580" w:rsidRDefault="007820D0" w:rsidP="00885580">
      <w:pPr>
        <w:pStyle w:val="Heading1"/>
      </w:pPr>
      <w:r>
        <w:t>Conclusion</w:t>
      </w:r>
    </w:p>
    <w:p w14:paraId="43CBDA6F" w14:textId="2F962B21" w:rsidR="00153A08" w:rsidRDefault="00153A08" w:rsidP="00153A08">
      <w:pPr>
        <w:spacing w:line="259" w:lineRule="auto"/>
        <w:rPr>
          <w:bCs/>
        </w:rPr>
      </w:pPr>
      <w:r>
        <w:rPr>
          <w:bCs/>
        </w:rPr>
        <w:t>The following observation was drawn:</w:t>
      </w:r>
    </w:p>
    <w:p w14:paraId="6B3957B5" w14:textId="77777777" w:rsidR="00153A08" w:rsidRPr="007A442B" w:rsidRDefault="00153A08" w:rsidP="00153A08">
      <w:pPr>
        <w:rPr>
          <w:lang w:val="en-US"/>
        </w:rPr>
      </w:pPr>
      <w:r w:rsidRPr="007A442B">
        <w:rPr>
          <w:b/>
          <w:lang w:val="en-US"/>
        </w:rPr>
        <w:t xml:space="preserve">Observation </w:t>
      </w:r>
      <w:r>
        <w:rPr>
          <w:b/>
          <w:lang w:val="en-US"/>
        </w:rPr>
        <w:t>1</w:t>
      </w:r>
      <w:r w:rsidRPr="005A4E25">
        <w:rPr>
          <w:lang w:val="en-US"/>
        </w:rPr>
        <w:t>: If TX beamforming is assumed, the current resource with 6-symbols allocations are used up easily. It needs symbol extension in Rel-16 SRS design for MU.</w:t>
      </w:r>
    </w:p>
    <w:p w14:paraId="15AB6473" w14:textId="77777777" w:rsidR="00153A08" w:rsidRDefault="00153A08" w:rsidP="00153A08">
      <w:pPr>
        <w:spacing w:line="259" w:lineRule="auto"/>
        <w:rPr>
          <w:bCs/>
        </w:rPr>
      </w:pPr>
    </w:p>
    <w:p w14:paraId="0E8C6B77" w14:textId="53281574" w:rsidR="00153A08" w:rsidRPr="00153A08" w:rsidRDefault="00153A08" w:rsidP="00153A08">
      <w:pPr>
        <w:spacing w:line="259" w:lineRule="auto"/>
        <w:rPr>
          <w:bCs/>
        </w:rPr>
      </w:pPr>
      <w:r w:rsidRPr="00153A08">
        <w:rPr>
          <w:bCs/>
        </w:rPr>
        <w:t xml:space="preserve">The following proposals were made. </w:t>
      </w:r>
    </w:p>
    <w:p w14:paraId="3C94C04E" w14:textId="72E9CDE3" w:rsidR="00153A08" w:rsidRDefault="00153A08" w:rsidP="00153A08">
      <w:pPr>
        <w:spacing w:line="259" w:lineRule="auto"/>
      </w:pPr>
      <w:r w:rsidRPr="007A442B">
        <w:rPr>
          <w:b/>
          <w:bCs/>
        </w:rPr>
        <w:t xml:space="preserve">Proposal </w:t>
      </w:r>
      <w:r>
        <w:rPr>
          <w:b/>
          <w:bCs/>
        </w:rPr>
        <w:t>1</w:t>
      </w:r>
      <w:r w:rsidRPr="007A442B">
        <w:rPr>
          <w:b/>
          <w:bCs/>
        </w:rPr>
        <w:t>:</w:t>
      </w:r>
      <w:r w:rsidRPr="007A442B">
        <w:t xml:space="preserve"> </w:t>
      </w:r>
      <w:r w:rsidRPr="00852B2B">
        <w:t>Consider comb-6 SRS structure additionally for UL positioning.</w:t>
      </w:r>
    </w:p>
    <w:p w14:paraId="579A26AB" w14:textId="77777777" w:rsidR="00153A08" w:rsidRPr="007A442B" w:rsidRDefault="00153A08" w:rsidP="00153A08">
      <w:pPr>
        <w:rPr>
          <w:lang w:val="en-US"/>
        </w:rPr>
      </w:pPr>
      <w:r w:rsidRPr="007A442B">
        <w:rPr>
          <w:b/>
          <w:bCs/>
        </w:rPr>
        <w:t xml:space="preserve">Proposal </w:t>
      </w:r>
      <w:r>
        <w:rPr>
          <w:b/>
          <w:bCs/>
        </w:rPr>
        <w:t>2</w:t>
      </w:r>
      <w:r w:rsidRPr="007A442B">
        <w:rPr>
          <w:b/>
          <w:bCs/>
        </w:rPr>
        <w:t xml:space="preserve">: </w:t>
      </w:r>
      <w:r w:rsidRPr="005A4E25">
        <w:rPr>
          <w:bCs/>
        </w:rPr>
        <w:t>Extend the number SRS symbols from {1,2,4} symbols to at least {1,2,4,6} symbols for orthogonal UE multiplexing capacity.</w:t>
      </w:r>
    </w:p>
    <w:p w14:paraId="1DDE5E0D" w14:textId="77777777" w:rsidR="00153A08" w:rsidRDefault="00153A08" w:rsidP="00153A08">
      <w:pPr>
        <w:rPr>
          <w:b/>
          <w:i/>
          <w:sz w:val="24"/>
          <w:szCs w:val="24"/>
          <w:highlight w:val="yellow"/>
          <w:u w:val="single"/>
          <w:lang w:val="en-US"/>
        </w:rPr>
      </w:pPr>
      <w:r w:rsidRPr="007A442B">
        <w:rPr>
          <w:b/>
          <w:bCs/>
        </w:rPr>
        <w:t xml:space="preserve">Proposal </w:t>
      </w:r>
      <w:r>
        <w:rPr>
          <w:b/>
          <w:bCs/>
        </w:rPr>
        <w:t>3</w:t>
      </w:r>
      <w:r w:rsidRPr="007A442B">
        <w:rPr>
          <w:b/>
          <w:bCs/>
        </w:rPr>
        <w:t>:</w:t>
      </w:r>
      <w:r w:rsidRPr="005A4E25">
        <w:t xml:space="preserve"> </w:t>
      </w:r>
      <w:r w:rsidRPr="005A4E25">
        <w:rPr>
          <w:lang w:val="en-US"/>
        </w:rPr>
        <w:t>Extend</w:t>
      </w:r>
      <w:r>
        <w:rPr>
          <w:lang w:val="en-US"/>
        </w:rPr>
        <w:t xml:space="preserve"> Rel-15 SRS symbol allocations from the last 6-symbols to the last 12 symbols.</w:t>
      </w:r>
    </w:p>
    <w:p w14:paraId="2449C199" w14:textId="429D145F" w:rsidR="00153A08" w:rsidRDefault="00153A08" w:rsidP="00783657">
      <w:pPr>
        <w:rPr>
          <w:lang w:val="en-US"/>
        </w:rPr>
      </w:pPr>
      <w:r w:rsidRPr="007A442B">
        <w:rPr>
          <w:b/>
          <w:bCs/>
          <w:lang w:val="en-US"/>
        </w:rPr>
        <w:t xml:space="preserve">Proposal </w:t>
      </w:r>
      <w:r>
        <w:rPr>
          <w:b/>
          <w:bCs/>
          <w:lang w:val="en-US"/>
        </w:rPr>
        <w:t>4</w:t>
      </w:r>
      <w:r w:rsidRPr="007A442B">
        <w:rPr>
          <w:lang w:val="en-US"/>
        </w:rPr>
        <w:t xml:space="preserve">: </w:t>
      </w:r>
      <w:r w:rsidRPr="005A4E25">
        <w:rPr>
          <w:lang w:val="en-US"/>
        </w:rPr>
        <w:t>We</w:t>
      </w:r>
      <w:r w:rsidRPr="5B73DA29">
        <w:rPr>
          <w:lang w:val="en-US"/>
        </w:rPr>
        <w:t xml:space="preserve"> prefer option-1 of s</w:t>
      </w:r>
      <w:r w:rsidRPr="5B73DA29">
        <w:rPr>
          <w:i/>
          <w:iCs/>
        </w:rPr>
        <w:t>staggered patterns in a single SRS resource</w:t>
      </w:r>
      <w:r w:rsidRPr="5B73DA29">
        <w:rPr>
          <w:lang w:val="en-US"/>
        </w:rPr>
        <w:t>.</w:t>
      </w:r>
    </w:p>
    <w:p w14:paraId="2AE099C6" w14:textId="77777777" w:rsidR="00153A08" w:rsidRDefault="00153A08" w:rsidP="00153A08">
      <w:pPr>
        <w:rPr>
          <w:lang w:val="en-US"/>
        </w:rPr>
      </w:pPr>
      <w:r w:rsidRPr="007A442B">
        <w:rPr>
          <w:b/>
          <w:bCs/>
          <w:lang w:val="en-US"/>
        </w:rPr>
        <w:t xml:space="preserve">Proposal </w:t>
      </w:r>
      <w:r>
        <w:rPr>
          <w:b/>
          <w:bCs/>
          <w:lang w:val="en-US"/>
        </w:rPr>
        <w:t>5</w:t>
      </w:r>
      <w:r w:rsidRPr="007A442B">
        <w:rPr>
          <w:lang w:val="en-US"/>
        </w:rPr>
        <w:t xml:space="preserve">: </w:t>
      </w:r>
      <w:r w:rsidRPr="5B73DA29">
        <w:rPr>
          <w:lang w:val="en-US"/>
        </w:rPr>
        <w:t>First study UE multiplexing capacity in orthogonal manners through comb and symbol structures. If finding issues regarding lack of UE capacity, then consider modifying the number of code sequences ID.</w:t>
      </w:r>
    </w:p>
    <w:p w14:paraId="68D649B2" w14:textId="77777777" w:rsidR="00153A08" w:rsidRPr="00E70E52" w:rsidRDefault="00153A08" w:rsidP="00153A08">
      <w:pPr>
        <w:rPr>
          <w:lang w:val="en-US"/>
        </w:rPr>
      </w:pPr>
      <w:r w:rsidRPr="007A442B">
        <w:rPr>
          <w:b/>
          <w:lang w:val="en-US"/>
        </w:rPr>
        <w:t xml:space="preserve">Proposal </w:t>
      </w:r>
      <w:r>
        <w:rPr>
          <w:b/>
          <w:lang w:val="en-US"/>
        </w:rPr>
        <w:t>6</w:t>
      </w:r>
      <w:r w:rsidRPr="007A442B">
        <w:rPr>
          <w:lang w:val="en-US"/>
        </w:rPr>
        <w:t xml:space="preserve">: </w:t>
      </w:r>
      <w:r w:rsidRPr="005A4E25">
        <w:rPr>
          <w:lang w:val="en-US"/>
        </w:rPr>
        <w:t>Study</w:t>
      </w:r>
      <w:r w:rsidRPr="00FC6060">
        <w:rPr>
          <w:lang w:val="en-US"/>
        </w:rPr>
        <w:t xml:space="preserve"> UE specific TA and TPC control mechanisms for neighbor cell hearability improvements.</w:t>
      </w:r>
    </w:p>
    <w:p w14:paraId="1F235E2D" w14:textId="6F94B89A" w:rsidR="00153A08" w:rsidRPr="00153A08" w:rsidRDefault="00153A08" w:rsidP="00783657">
      <w:r w:rsidRPr="007A442B">
        <w:rPr>
          <w:b/>
          <w:bCs/>
          <w:lang w:val="en-US"/>
        </w:rPr>
        <w:t xml:space="preserve">Proposal </w:t>
      </w:r>
      <w:r>
        <w:rPr>
          <w:b/>
          <w:bCs/>
          <w:lang w:val="en-US"/>
        </w:rPr>
        <w:t>7</w:t>
      </w:r>
      <w:r w:rsidRPr="007A442B">
        <w:rPr>
          <w:b/>
          <w:bCs/>
          <w:lang w:val="en-US"/>
        </w:rPr>
        <w:t>:</w:t>
      </w:r>
      <w:r w:rsidRPr="007A442B">
        <w:rPr>
          <w:lang w:val="en-US"/>
        </w:rPr>
        <w:t xml:space="preserve"> </w:t>
      </w:r>
      <w:r w:rsidRPr="00852B2B">
        <w:rPr>
          <w:lang w:val="en-US"/>
        </w:rPr>
        <w:t xml:space="preserve">Define a new usage of Rel-16 SRS for positioning purpose. </w:t>
      </w:r>
    </w:p>
    <w:p w14:paraId="53CD9119" w14:textId="77777777" w:rsidR="00885580" w:rsidRPr="00ED1327" w:rsidRDefault="00885580" w:rsidP="00885580">
      <w:pPr>
        <w:pStyle w:val="Heading1"/>
        <w:numPr>
          <w:ilvl w:val="0"/>
          <w:numId w:val="0"/>
        </w:numPr>
      </w:pPr>
      <w:r>
        <w:t>References</w:t>
      </w:r>
    </w:p>
    <w:p w14:paraId="021C7B3D" w14:textId="6D6BE9B2" w:rsidR="000659FD" w:rsidRDefault="000659FD">
      <w:pPr>
        <w:pStyle w:val="ListParagraph"/>
        <w:numPr>
          <w:ilvl w:val="0"/>
          <w:numId w:val="13"/>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0B08FA97" w:rsidR="00D05105" w:rsidRPr="00674CA6" w:rsidRDefault="00D05105">
      <w:pPr>
        <w:pStyle w:val="ListParagraph"/>
        <w:numPr>
          <w:ilvl w:val="0"/>
          <w:numId w:val="13"/>
        </w:numPr>
        <w:rPr>
          <w:sz w:val="20"/>
          <w:szCs w:val="20"/>
          <w:lang w:val="en-US"/>
        </w:rPr>
      </w:pPr>
      <w:r>
        <w:rPr>
          <w:sz w:val="20"/>
          <w:szCs w:val="20"/>
          <w:lang w:val="en-US"/>
        </w:rPr>
        <w:t>R1-19</w:t>
      </w:r>
      <w:r w:rsidR="00A07B72">
        <w:rPr>
          <w:sz w:val="20"/>
          <w:szCs w:val="20"/>
          <w:lang w:val="en-US"/>
        </w:rPr>
        <w:t>06658</w:t>
      </w:r>
      <w:r>
        <w:rPr>
          <w:sz w:val="20"/>
          <w:szCs w:val="20"/>
          <w:lang w:val="en-US"/>
        </w:rPr>
        <w:t xml:space="preserve">, “Views on </w:t>
      </w:r>
      <w:r w:rsidR="00407ACD">
        <w:rPr>
          <w:sz w:val="20"/>
          <w:szCs w:val="20"/>
          <w:lang w:val="en-US"/>
        </w:rPr>
        <w:t>D</w:t>
      </w:r>
      <w:r>
        <w:rPr>
          <w:sz w:val="20"/>
          <w:szCs w:val="20"/>
          <w:lang w:val="en-US"/>
        </w:rPr>
        <w:t>L reference signals for NR Positioning”, Nokia, Nokia Shanghai Bell, RAN1#97, Reno, Nevada.</w:t>
      </w:r>
    </w:p>
    <w:p w14:paraId="5A42EC6E" w14:textId="728226A1" w:rsidR="00D05105" w:rsidRDefault="00AD372F" w:rsidP="00BD1E8D">
      <w:pPr>
        <w:pStyle w:val="ListParagraph"/>
        <w:numPr>
          <w:ilvl w:val="0"/>
          <w:numId w:val="13"/>
        </w:numPr>
        <w:rPr>
          <w:sz w:val="20"/>
          <w:szCs w:val="20"/>
          <w:lang w:val="en-US"/>
        </w:rPr>
      </w:pPr>
      <w:bookmarkStart w:id="3" w:name="_Hlk4508146"/>
      <w:r w:rsidRPr="00D05105">
        <w:rPr>
          <w:sz w:val="20"/>
          <w:szCs w:val="20"/>
          <w:lang w:val="en-US"/>
        </w:rPr>
        <w:t>R1-</w:t>
      </w:r>
      <w:r w:rsidR="00D45094" w:rsidRPr="00D05105">
        <w:rPr>
          <w:sz w:val="20"/>
          <w:szCs w:val="20"/>
          <w:lang w:val="en-US"/>
        </w:rPr>
        <w:t>19</w:t>
      </w:r>
      <w:r w:rsidR="00A07B72">
        <w:rPr>
          <w:sz w:val="20"/>
          <w:szCs w:val="20"/>
          <w:lang w:val="en-US"/>
        </w:rPr>
        <w:t>06660</w:t>
      </w:r>
      <w:r w:rsidRPr="00D05105">
        <w:rPr>
          <w:sz w:val="20"/>
          <w:szCs w:val="20"/>
          <w:lang w:val="en-US"/>
        </w:rPr>
        <w:t xml:space="preserve">, “Measurements for NR Positioning”, Nokia, Nokia Shanghai Bell, </w:t>
      </w:r>
      <w:r w:rsidR="00D05105">
        <w:rPr>
          <w:sz w:val="20"/>
          <w:szCs w:val="20"/>
          <w:lang w:val="en-US"/>
        </w:rPr>
        <w:t>RAN1#97, Reno, Nevada.</w:t>
      </w:r>
    </w:p>
    <w:p w14:paraId="3F89373F" w14:textId="0610DC0A" w:rsidR="00AD372F" w:rsidRDefault="00AD372F" w:rsidP="00BD1E8D">
      <w:pPr>
        <w:pStyle w:val="ListParagraph"/>
        <w:numPr>
          <w:ilvl w:val="0"/>
          <w:numId w:val="13"/>
        </w:numPr>
        <w:rPr>
          <w:sz w:val="20"/>
          <w:szCs w:val="20"/>
          <w:lang w:val="en-US"/>
        </w:rPr>
      </w:pPr>
      <w:r w:rsidRPr="00D05105">
        <w:rPr>
          <w:sz w:val="20"/>
          <w:szCs w:val="20"/>
          <w:lang w:val="en-US"/>
        </w:rPr>
        <w:t>R1-</w:t>
      </w:r>
      <w:r w:rsidR="00D45094" w:rsidRPr="00D05105">
        <w:rPr>
          <w:sz w:val="20"/>
          <w:szCs w:val="20"/>
          <w:lang w:val="en-US"/>
        </w:rPr>
        <w:t>19</w:t>
      </w:r>
      <w:r w:rsidR="00A07B72">
        <w:rPr>
          <w:sz w:val="20"/>
          <w:szCs w:val="20"/>
          <w:lang w:val="en-US"/>
        </w:rPr>
        <w:t>06661</w:t>
      </w:r>
      <w:r w:rsidRPr="00D05105">
        <w:rPr>
          <w:sz w:val="20"/>
          <w:szCs w:val="20"/>
          <w:lang w:val="en-US"/>
        </w:rPr>
        <w:t>, “Views on physical layer procedures for NR Positioning”, Nokia, Nokia Shanghai Bell,</w:t>
      </w:r>
      <w:r w:rsidR="00D05105" w:rsidRPr="00D05105">
        <w:rPr>
          <w:sz w:val="20"/>
          <w:szCs w:val="20"/>
          <w:lang w:val="en-US"/>
        </w:rPr>
        <w:t xml:space="preserve"> </w:t>
      </w:r>
      <w:r w:rsidR="00D05105">
        <w:rPr>
          <w:sz w:val="20"/>
          <w:szCs w:val="20"/>
          <w:lang w:val="en-US"/>
        </w:rPr>
        <w:t>RAN1#97, Reno, Nevada</w:t>
      </w:r>
      <w:r w:rsidRPr="00D05105">
        <w:rPr>
          <w:sz w:val="20"/>
          <w:szCs w:val="20"/>
          <w:lang w:val="en-US"/>
        </w:rPr>
        <w:t xml:space="preserve">. </w:t>
      </w:r>
    </w:p>
    <w:p w14:paraId="45A5BABF" w14:textId="77777777" w:rsidR="00AF3551" w:rsidRDefault="00AF3551" w:rsidP="00AF3551">
      <w:pPr>
        <w:pStyle w:val="ListParagraph"/>
        <w:numPr>
          <w:ilvl w:val="0"/>
          <w:numId w:val="13"/>
        </w:numPr>
        <w:rPr>
          <w:sz w:val="20"/>
          <w:szCs w:val="20"/>
          <w:lang w:val="en-US"/>
        </w:rPr>
      </w:pPr>
      <w:r w:rsidRPr="00C63848">
        <w:rPr>
          <w:sz w:val="20"/>
          <w:szCs w:val="20"/>
          <w:lang w:val="en-US"/>
        </w:rPr>
        <w:t>Chairman's Notes RAN1#96bis, 3GPP TSG RAN WG1 Meeting #96bis, Xi’an, China</w:t>
      </w:r>
    </w:p>
    <w:p w14:paraId="01FA0396" w14:textId="7F0BE64C" w:rsidR="00AF3551" w:rsidRDefault="00AF3551" w:rsidP="00AF3551">
      <w:pPr>
        <w:pStyle w:val="ListParagraph"/>
        <w:numPr>
          <w:ilvl w:val="0"/>
          <w:numId w:val="13"/>
        </w:numPr>
        <w:rPr>
          <w:sz w:val="20"/>
          <w:szCs w:val="20"/>
          <w:lang w:val="en-US"/>
        </w:rPr>
      </w:pPr>
      <w:r w:rsidRPr="00C63848">
        <w:rPr>
          <w:sz w:val="20"/>
          <w:szCs w:val="20"/>
          <w:lang w:val="en-US"/>
        </w:rPr>
        <w:t>TR 38.855</w:t>
      </w:r>
      <w:r>
        <w:rPr>
          <w:sz w:val="20"/>
          <w:szCs w:val="20"/>
          <w:lang w:val="en-US"/>
        </w:rPr>
        <w:t>, “</w:t>
      </w:r>
      <w:r w:rsidRPr="00C63848">
        <w:rPr>
          <w:sz w:val="20"/>
          <w:szCs w:val="20"/>
          <w:lang w:val="en-US"/>
        </w:rPr>
        <w:tab/>
        <w:t>Study on NR positioning support</w:t>
      </w:r>
      <w:r w:rsidR="00BD1E8D">
        <w:rPr>
          <w:sz w:val="20"/>
          <w:szCs w:val="20"/>
          <w:lang w:val="en-US"/>
        </w:rPr>
        <w:t>”</w:t>
      </w:r>
    </w:p>
    <w:p w14:paraId="6F684EEE" w14:textId="45DE8901" w:rsidR="00AF3551" w:rsidRDefault="00AF3551" w:rsidP="00AF3551">
      <w:pPr>
        <w:pStyle w:val="ListParagraph"/>
        <w:numPr>
          <w:ilvl w:val="0"/>
          <w:numId w:val="13"/>
        </w:numPr>
        <w:rPr>
          <w:sz w:val="20"/>
          <w:szCs w:val="20"/>
          <w:lang w:val="en-US"/>
        </w:rPr>
      </w:pPr>
      <w:r w:rsidRPr="00C63848">
        <w:rPr>
          <w:sz w:val="20"/>
          <w:szCs w:val="20"/>
          <w:lang w:val="en-US"/>
        </w:rPr>
        <w:t>R1-1905484</w:t>
      </w:r>
      <w:r w:rsidR="00BD1E8D">
        <w:rPr>
          <w:sz w:val="20"/>
          <w:szCs w:val="20"/>
          <w:lang w:val="en-US"/>
        </w:rPr>
        <w:t>,</w:t>
      </w:r>
      <w:r w:rsidRPr="00C63848">
        <w:rPr>
          <w:sz w:val="20"/>
          <w:szCs w:val="20"/>
          <w:lang w:val="en-US"/>
        </w:rPr>
        <w:t xml:space="preserve"> </w:t>
      </w:r>
      <w:r w:rsidR="00C4316F">
        <w:rPr>
          <w:sz w:val="20"/>
          <w:szCs w:val="20"/>
          <w:lang w:val="en-US"/>
        </w:rPr>
        <w:t>“</w:t>
      </w:r>
      <w:r w:rsidRPr="00C63848">
        <w:rPr>
          <w:sz w:val="20"/>
          <w:szCs w:val="20"/>
          <w:lang w:val="en-US"/>
        </w:rPr>
        <w:t>SRS Enhancements for NR positioning</w:t>
      </w:r>
      <w:r>
        <w:rPr>
          <w:sz w:val="20"/>
          <w:szCs w:val="20"/>
          <w:lang w:val="en-US"/>
        </w:rPr>
        <w:t>,</w:t>
      </w:r>
      <w:r w:rsidR="00BD1E8D">
        <w:rPr>
          <w:sz w:val="20"/>
          <w:szCs w:val="20"/>
          <w:lang w:val="en-US"/>
        </w:rPr>
        <w:t>”</w:t>
      </w:r>
      <w:r>
        <w:rPr>
          <w:sz w:val="20"/>
          <w:szCs w:val="20"/>
          <w:lang w:val="en-US"/>
        </w:rPr>
        <w:t xml:space="preserve"> </w:t>
      </w:r>
      <w:r w:rsidRPr="00C63848">
        <w:rPr>
          <w:sz w:val="20"/>
          <w:szCs w:val="20"/>
          <w:lang w:val="en-US"/>
        </w:rPr>
        <w:t xml:space="preserve">Fraunhofer IIS, </w:t>
      </w:r>
      <w:r w:rsidRPr="00674CA6">
        <w:rPr>
          <w:sz w:val="20"/>
          <w:szCs w:val="20"/>
          <w:lang w:val="en-US"/>
        </w:rPr>
        <w:t>RAN1#96-bis, Xi’an, China.</w:t>
      </w:r>
    </w:p>
    <w:p w14:paraId="613AE60D" w14:textId="56653B1C" w:rsidR="00AF3551" w:rsidRDefault="00BD1E8D" w:rsidP="00AF3551">
      <w:pPr>
        <w:pStyle w:val="ListParagraph"/>
        <w:numPr>
          <w:ilvl w:val="0"/>
          <w:numId w:val="13"/>
        </w:numPr>
        <w:rPr>
          <w:sz w:val="20"/>
          <w:szCs w:val="20"/>
          <w:lang w:val="en-US"/>
        </w:rPr>
      </w:pPr>
      <w:r w:rsidRPr="00BD1E8D">
        <w:rPr>
          <w:sz w:val="20"/>
          <w:szCs w:val="20"/>
          <w:lang w:val="en-US"/>
        </w:rPr>
        <w:t>R1-1905035</w:t>
      </w:r>
      <w:r w:rsidRPr="00BD1E8D">
        <w:rPr>
          <w:sz w:val="20"/>
          <w:szCs w:val="20"/>
          <w:lang w:val="en-US"/>
        </w:rPr>
        <w:tab/>
      </w:r>
      <w:r>
        <w:rPr>
          <w:sz w:val="20"/>
          <w:szCs w:val="20"/>
          <w:lang w:val="en-US"/>
        </w:rPr>
        <w:t>“</w:t>
      </w:r>
      <w:r w:rsidRPr="00BD1E8D">
        <w:rPr>
          <w:sz w:val="20"/>
          <w:szCs w:val="20"/>
          <w:lang w:val="en-US"/>
        </w:rPr>
        <w:t xml:space="preserve">Considerations on </w:t>
      </w:r>
      <w:proofErr w:type="spellStart"/>
      <w:r w:rsidRPr="00BD1E8D">
        <w:rPr>
          <w:sz w:val="20"/>
          <w:szCs w:val="20"/>
          <w:lang w:val="en-US"/>
        </w:rPr>
        <w:t>Phy</w:t>
      </w:r>
      <w:proofErr w:type="spellEnd"/>
      <w:r w:rsidRPr="00BD1E8D">
        <w:rPr>
          <w:sz w:val="20"/>
          <w:szCs w:val="20"/>
          <w:lang w:val="en-US"/>
        </w:rPr>
        <w:t>-layer procedures for NR Positioning</w:t>
      </w:r>
      <w:r>
        <w:rPr>
          <w:sz w:val="20"/>
          <w:szCs w:val="20"/>
          <w:lang w:val="en-US"/>
        </w:rPr>
        <w:t>”,</w:t>
      </w:r>
      <w:r w:rsidRPr="00BD1E8D">
        <w:rPr>
          <w:sz w:val="20"/>
          <w:szCs w:val="20"/>
          <w:lang w:val="en-US"/>
        </w:rPr>
        <w:tab/>
        <w:t>Qualcomm Incorporated</w:t>
      </w:r>
      <w:r>
        <w:rPr>
          <w:sz w:val="20"/>
          <w:szCs w:val="20"/>
          <w:lang w:val="en-US"/>
        </w:rPr>
        <w:t>,</w:t>
      </w:r>
      <w:r w:rsidRPr="00BD1E8D">
        <w:rPr>
          <w:sz w:val="20"/>
          <w:szCs w:val="20"/>
          <w:lang w:val="en-US"/>
        </w:rPr>
        <w:t xml:space="preserve"> </w:t>
      </w:r>
      <w:r w:rsidRPr="00674CA6">
        <w:rPr>
          <w:sz w:val="20"/>
          <w:szCs w:val="20"/>
          <w:lang w:val="en-US"/>
        </w:rPr>
        <w:t>RAN1#96-bis, Xi’an, China.</w:t>
      </w:r>
    </w:p>
    <w:p w14:paraId="5A6E1F65" w14:textId="77777777" w:rsidR="00BD1E8D" w:rsidRDefault="00BD1E8D" w:rsidP="00BD1E8D">
      <w:pPr>
        <w:pStyle w:val="ListParagraph"/>
        <w:numPr>
          <w:ilvl w:val="0"/>
          <w:numId w:val="13"/>
        </w:numPr>
        <w:rPr>
          <w:sz w:val="20"/>
          <w:szCs w:val="20"/>
          <w:lang w:val="en-US"/>
        </w:rPr>
      </w:pPr>
      <w:r w:rsidRPr="00BD1E8D">
        <w:rPr>
          <w:sz w:val="20"/>
          <w:szCs w:val="20"/>
          <w:lang w:val="en-US"/>
        </w:rPr>
        <w:t>R1-1904006</w:t>
      </w:r>
      <w:r>
        <w:rPr>
          <w:sz w:val="20"/>
          <w:szCs w:val="20"/>
          <w:lang w:val="en-US"/>
        </w:rPr>
        <w:t>,</w:t>
      </w:r>
      <w:r w:rsidRPr="00BD1E8D">
        <w:rPr>
          <w:sz w:val="20"/>
          <w:szCs w:val="20"/>
          <w:lang w:val="en-US"/>
        </w:rPr>
        <w:tab/>
      </w:r>
      <w:r>
        <w:rPr>
          <w:sz w:val="20"/>
          <w:szCs w:val="20"/>
          <w:lang w:val="en-US"/>
        </w:rPr>
        <w:t xml:space="preserve"> “</w:t>
      </w:r>
      <w:r w:rsidRPr="00BD1E8D">
        <w:rPr>
          <w:sz w:val="20"/>
          <w:szCs w:val="20"/>
          <w:lang w:val="en-US"/>
        </w:rPr>
        <w:t>Physical layer procedure for NR positioning</w:t>
      </w:r>
      <w:r>
        <w:rPr>
          <w:sz w:val="20"/>
          <w:szCs w:val="20"/>
          <w:lang w:val="en-US"/>
        </w:rPr>
        <w:t>,”</w:t>
      </w:r>
      <w:r w:rsidRPr="00BD1E8D">
        <w:rPr>
          <w:sz w:val="20"/>
          <w:szCs w:val="20"/>
          <w:lang w:val="en-US"/>
        </w:rPr>
        <w:tab/>
        <w:t xml:space="preserve">Huawei, </w:t>
      </w:r>
      <w:proofErr w:type="spellStart"/>
      <w:r w:rsidRPr="00BD1E8D">
        <w:rPr>
          <w:sz w:val="20"/>
          <w:szCs w:val="20"/>
          <w:lang w:val="en-US"/>
        </w:rPr>
        <w:t>HiSilicon</w:t>
      </w:r>
      <w:proofErr w:type="spellEnd"/>
      <w:r>
        <w:rPr>
          <w:sz w:val="20"/>
          <w:szCs w:val="20"/>
          <w:lang w:val="en-US"/>
        </w:rPr>
        <w:t xml:space="preserve">, </w:t>
      </w:r>
      <w:r w:rsidRPr="00674CA6">
        <w:rPr>
          <w:sz w:val="20"/>
          <w:szCs w:val="20"/>
          <w:lang w:val="en-US"/>
        </w:rPr>
        <w:t>RAN1#96-bis, Xi’an, China.</w:t>
      </w:r>
    </w:p>
    <w:p w14:paraId="049987E7" w14:textId="18B10734" w:rsidR="00BD1E8D" w:rsidRPr="00BD1E8D" w:rsidRDefault="00BD1E8D" w:rsidP="00BD1E8D">
      <w:pPr>
        <w:rPr>
          <w:lang w:val="en-US"/>
        </w:rPr>
      </w:pPr>
    </w:p>
    <w:p w14:paraId="23824A3A" w14:textId="77777777" w:rsidR="00AF3551" w:rsidRPr="00D05105" w:rsidRDefault="00AF3551" w:rsidP="00AF3551">
      <w:pPr>
        <w:pStyle w:val="ListParagraph"/>
        <w:ind w:left="360"/>
        <w:rPr>
          <w:sz w:val="20"/>
          <w:szCs w:val="20"/>
          <w:lang w:val="en-US"/>
        </w:rPr>
      </w:pPr>
    </w:p>
    <w:bookmarkEnd w:id="3"/>
    <w:p w14:paraId="4227E94F" w14:textId="77777777" w:rsidR="3464471D" w:rsidRPr="00674CA6" w:rsidRDefault="3464471D">
      <w:pPr>
        <w:rPr>
          <w:lang w:val="en-US"/>
        </w:rPr>
      </w:pPr>
    </w:p>
    <w:p w14:paraId="7FF5F37B" w14:textId="77777777" w:rsidR="00961EE9" w:rsidRDefault="00961EE9" w:rsidP="00D37A1A"/>
    <w:sectPr w:rsidR="00961EE9" w:rsidSect="0098310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5BF69" w14:textId="77777777" w:rsidR="00BD1E8D" w:rsidRDefault="00BD1E8D">
      <w:r>
        <w:separator/>
      </w:r>
    </w:p>
  </w:endnote>
  <w:endnote w:type="continuationSeparator" w:id="0">
    <w:p w14:paraId="7A43DBD4" w14:textId="77777777" w:rsidR="00BD1E8D" w:rsidRDefault="00BD1E8D">
      <w:r>
        <w:continuationSeparator/>
      </w:r>
    </w:p>
  </w:endnote>
  <w:endnote w:type="continuationNotice" w:id="1">
    <w:p w14:paraId="1D47919D" w14:textId="77777777" w:rsidR="00BD1E8D" w:rsidRDefault="00BD1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F0E3A" w14:textId="77777777" w:rsidR="00BD1E8D" w:rsidRDefault="00BD1E8D">
      <w:r>
        <w:separator/>
      </w:r>
    </w:p>
  </w:footnote>
  <w:footnote w:type="continuationSeparator" w:id="0">
    <w:p w14:paraId="1BB6A041" w14:textId="77777777" w:rsidR="00BD1E8D" w:rsidRDefault="00BD1E8D">
      <w:r>
        <w:continuationSeparator/>
      </w:r>
    </w:p>
  </w:footnote>
  <w:footnote w:type="continuationNotice" w:id="1">
    <w:p w14:paraId="41666427" w14:textId="77777777" w:rsidR="00BD1E8D" w:rsidRDefault="00BD1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986C80"/>
    <w:multiLevelType w:val="hybridMultilevel"/>
    <w:tmpl w:val="5A140D5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0378C2"/>
    <w:multiLevelType w:val="hybridMultilevel"/>
    <w:tmpl w:val="F1E43B24"/>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21"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6"/>
  </w:num>
  <w:num w:numId="4">
    <w:abstractNumId w:val="0"/>
  </w:num>
  <w:num w:numId="5">
    <w:abstractNumId w:val="2"/>
  </w:num>
  <w:num w:numId="6">
    <w:abstractNumId w:val="11"/>
  </w:num>
  <w:num w:numId="7">
    <w:abstractNumId w:val="17"/>
  </w:num>
  <w:num w:numId="8">
    <w:abstractNumId w:val="12"/>
  </w:num>
  <w:num w:numId="9">
    <w:abstractNumId w:val="10"/>
  </w:num>
  <w:num w:numId="10">
    <w:abstractNumId w:val="22"/>
  </w:num>
  <w:num w:numId="11">
    <w:abstractNumId w:val="5"/>
  </w:num>
  <w:num w:numId="12">
    <w:abstractNumId w:val="14"/>
  </w:num>
  <w:num w:numId="13">
    <w:abstractNumId w:val="4"/>
  </w:num>
  <w:num w:numId="14">
    <w:abstractNumId w:val="9"/>
  </w:num>
  <w:num w:numId="15">
    <w:abstractNumId w:val="15"/>
  </w:num>
  <w:num w:numId="16">
    <w:abstractNumId w:val="8"/>
  </w:num>
  <w:num w:numId="17">
    <w:abstractNumId w:val="21"/>
  </w:num>
  <w:num w:numId="18">
    <w:abstractNumId w:val="13"/>
  </w:num>
  <w:num w:numId="19">
    <w:abstractNumId w:val="6"/>
  </w:num>
  <w:num w:numId="20">
    <w:abstractNumId w:val="1"/>
  </w:num>
  <w:num w:numId="21">
    <w:abstractNumId w:val="9"/>
  </w:num>
  <w:num w:numId="22">
    <w:abstractNumId w:val="18"/>
  </w:num>
  <w:num w:numId="23">
    <w:abstractNumId w:val="3"/>
  </w:num>
  <w:num w:numId="2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2C5C"/>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74E"/>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3EF6"/>
    <w:rsid w:val="00084A65"/>
    <w:rsid w:val="0008559A"/>
    <w:rsid w:val="00085E56"/>
    <w:rsid w:val="000902C2"/>
    <w:rsid w:val="00091A92"/>
    <w:rsid w:val="00093C49"/>
    <w:rsid w:val="00095A80"/>
    <w:rsid w:val="000973E1"/>
    <w:rsid w:val="000A1402"/>
    <w:rsid w:val="000A20BA"/>
    <w:rsid w:val="000A262C"/>
    <w:rsid w:val="000A3C8D"/>
    <w:rsid w:val="000A3DFE"/>
    <w:rsid w:val="000A40EC"/>
    <w:rsid w:val="000A54EE"/>
    <w:rsid w:val="000A584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B05"/>
    <w:rsid w:val="000F4CB2"/>
    <w:rsid w:val="000F4E44"/>
    <w:rsid w:val="000F4E90"/>
    <w:rsid w:val="000F568D"/>
    <w:rsid w:val="000F68D0"/>
    <w:rsid w:val="000F6B15"/>
    <w:rsid w:val="000F73FD"/>
    <w:rsid w:val="0010170B"/>
    <w:rsid w:val="00101C4F"/>
    <w:rsid w:val="00102C9F"/>
    <w:rsid w:val="00103565"/>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A08"/>
    <w:rsid w:val="00153FED"/>
    <w:rsid w:val="00155BFD"/>
    <w:rsid w:val="00156ABA"/>
    <w:rsid w:val="00157390"/>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8A7"/>
    <w:rsid w:val="00182725"/>
    <w:rsid w:val="001829C8"/>
    <w:rsid w:val="00185152"/>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712"/>
    <w:rsid w:val="00262D9D"/>
    <w:rsid w:val="002632DF"/>
    <w:rsid w:val="00263946"/>
    <w:rsid w:val="002640BA"/>
    <w:rsid w:val="00264CF2"/>
    <w:rsid w:val="00264E3E"/>
    <w:rsid w:val="00265B6B"/>
    <w:rsid w:val="002667A8"/>
    <w:rsid w:val="00267587"/>
    <w:rsid w:val="002675C8"/>
    <w:rsid w:val="00267760"/>
    <w:rsid w:val="00270B1A"/>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FA7"/>
    <w:rsid w:val="002B64B6"/>
    <w:rsid w:val="002C0C4B"/>
    <w:rsid w:val="002C1EEA"/>
    <w:rsid w:val="002C47AD"/>
    <w:rsid w:val="002C4FEF"/>
    <w:rsid w:val="002C5510"/>
    <w:rsid w:val="002C6034"/>
    <w:rsid w:val="002C635B"/>
    <w:rsid w:val="002C7276"/>
    <w:rsid w:val="002C770F"/>
    <w:rsid w:val="002C7CFF"/>
    <w:rsid w:val="002D0BC6"/>
    <w:rsid w:val="002D12DB"/>
    <w:rsid w:val="002D17C5"/>
    <w:rsid w:val="002D277F"/>
    <w:rsid w:val="002D365F"/>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275"/>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07ACD"/>
    <w:rsid w:val="0041443C"/>
    <w:rsid w:val="004144C8"/>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5190"/>
    <w:rsid w:val="00505D51"/>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281C"/>
    <w:rsid w:val="00532AD0"/>
    <w:rsid w:val="0053311D"/>
    <w:rsid w:val="00533B93"/>
    <w:rsid w:val="005340C9"/>
    <w:rsid w:val="005342E0"/>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4E25"/>
    <w:rsid w:val="005A515A"/>
    <w:rsid w:val="005A704D"/>
    <w:rsid w:val="005B3C6D"/>
    <w:rsid w:val="005B4045"/>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2105"/>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DFA"/>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69C4"/>
    <w:rsid w:val="00737A31"/>
    <w:rsid w:val="00742A6A"/>
    <w:rsid w:val="00742B44"/>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3657"/>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43ED"/>
    <w:rsid w:val="007A442B"/>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506E1"/>
    <w:rsid w:val="00850D96"/>
    <w:rsid w:val="008515EE"/>
    <w:rsid w:val="00851A8E"/>
    <w:rsid w:val="00851EC7"/>
    <w:rsid w:val="008528D3"/>
    <w:rsid w:val="00852B2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1B13"/>
    <w:rsid w:val="008925E9"/>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FD3"/>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5772"/>
    <w:rsid w:val="009F7867"/>
    <w:rsid w:val="009F7D66"/>
    <w:rsid w:val="00A00BD2"/>
    <w:rsid w:val="00A00E56"/>
    <w:rsid w:val="00A027F3"/>
    <w:rsid w:val="00A03978"/>
    <w:rsid w:val="00A03AB1"/>
    <w:rsid w:val="00A04263"/>
    <w:rsid w:val="00A04D7E"/>
    <w:rsid w:val="00A051D9"/>
    <w:rsid w:val="00A05DF3"/>
    <w:rsid w:val="00A07B72"/>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49C"/>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5FDF"/>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2D54"/>
    <w:rsid w:val="00AF3458"/>
    <w:rsid w:val="00AF3551"/>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4641"/>
    <w:rsid w:val="00BA4A54"/>
    <w:rsid w:val="00BA4E6C"/>
    <w:rsid w:val="00BA55C3"/>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BF9"/>
    <w:rsid w:val="00BD1E8D"/>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16F"/>
    <w:rsid w:val="00C43FF0"/>
    <w:rsid w:val="00C44641"/>
    <w:rsid w:val="00C45EF5"/>
    <w:rsid w:val="00C4646E"/>
    <w:rsid w:val="00C46B7E"/>
    <w:rsid w:val="00C474D6"/>
    <w:rsid w:val="00C47538"/>
    <w:rsid w:val="00C5099B"/>
    <w:rsid w:val="00C50A4E"/>
    <w:rsid w:val="00C5126B"/>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0"/>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51A3"/>
    <w:rsid w:val="00CB6795"/>
    <w:rsid w:val="00CB71F8"/>
    <w:rsid w:val="00CB76DC"/>
    <w:rsid w:val="00CC180A"/>
    <w:rsid w:val="00CC1F61"/>
    <w:rsid w:val="00CC26DB"/>
    <w:rsid w:val="00CC300C"/>
    <w:rsid w:val="00CC35AE"/>
    <w:rsid w:val="00CC3DAA"/>
    <w:rsid w:val="00CC4C2C"/>
    <w:rsid w:val="00CC5057"/>
    <w:rsid w:val="00CC767E"/>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381A"/>
    <w:rsid w:val="00E3409E"/>
    <w:rsid w:val="00E34F76"/>
    <w:rsid w:val="00E35558"/>
    <w:rsid w:val="00E37BE5"/>
    <w:rsid w:val="00E40CE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779D1"/>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DE2"/>
    <w:rsid w:val="00ED4A6D"/>
    <w:rsid w:val="00ED6D4A"/>
    <w:rsid w:val="00ED721A"/>
    <w:rsid w:val="00ED738C"/>
    <w:rsid w:val="00ED7918"/>
    <w:rsid w:val="00ED7FD3"/>
    <w:rsid w:val="00EE0E5D"/>
    <w:rsid w:val="00EE11C2"/>
    <w:rsid w:val="00EE1C31"/>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F92"/>
    <w:rsid w:val="00F86653"/>
    <w:rsid w:val="00F87032"/>
    <w:rsid w:val="00F87094"/>
    <w:rsid w:val="00F87AB3"/>
    <w:rsid w:val="00F87F6E"/>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70064E9"/>
    <w:rsid w:val="07B39E99"/>
    <w:rsid w:val="07BA243F"/>
    <w:rsid w:val="09C0678C"/>
    <w:rsid w:val="0C365EA4"/>
    <w:rsid w:val="0C7C81B0"/>
    <w:rsid w:val="0D0EDE05"/>
    <w:rsid w:val="0ED41F8D"/>
    <w:rsid w:val="0F280164"/>
    <w:rsid w:val="10E807B4"/>
    <w:rsid w:val="11194638"/>
    <w:rsid w:val="1328B26E"/>
    <w:rsid w:val="141204DA"/>
    <w:rsid w:val="14A054AA"/>
    <w:rsid w:val="14A7980B"/>
    <w:rsid w:val="16512788"/>
    <w:rsid w:val="1703FA0C"/>
    <w:rsid w:val="184204ED"/>
    <w:rsid w:val="1915AFB6"/>
    <w:rsid w:val="1A219784"/>
    <w:rsid w:val="1FAE4E7B"/>
    <w:rsid w:val="2050DB40"/>
    <w:rsid w:val="207C5373"/>
    <w:rsid w:val="2325766C"/>
    <w:rsid w:val="233FF8B8"/>
    <w:rsid w:val="2A307146"/>
    <w:rsid w:val="2C081102"/>
    <w:rsid w:val="2C87A766"/>
    <w:rsid w:val="2F6639AC"/>
    <w:rsid w:val="2FE51534"/>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864C39F"/>
    <w:rsid w:val="48CAD879"/>
    <w:rsid w:val="4D62406C"/>
    <w:rsid w:val="4E24536E"/>
    <w:rsid w:val="4FC3917F"/>
    <w:rsid w:val="567380E6"/>
    <w:rsid w:val="574EC407"/>
    <w:rsid w:val="578C81EA"/>
    <w:rsid w:val="57FB48B2"/>
    <w:rsid w:val="5A1F6C83"/>
    <w:rsid w:val="5B7ECE71"/>
    <w:rsid w:val="5C07BE12"/>
    <w:rsid w:val="5DDAE991"/>
    <w:rsid w:val="601429BD"/>
    <w:rsid w:val="60417B16"/>
    <w:rsid w:val="6361E8DA"/>
    <w:rsid w:val="655741C0"/>
    <w:rsid w:val="65C1FAAE"/>
    <w:rsid w:val="65FA20B1"/>
    <w:rsid w:val="661D2E44"/>
    <w:rsid w:val="67205F1A"/>
    <w:rsid w:val="672BEDA5"/>
    <w:rsid w:val="68D092B6"/>
    <w:rsid w:val="695A62B8"/>
    <w:rsid w:val="6DCE0266"/>
    <w:rsid w:val="6F2EE974"/>
    <w:rsid w:val="6FDB62BE"/>
    <w:rsid w:val="701B3BE7"/>
    <w:rsid w:val="73F31950"/>
    <w:rsid w:val="740C7680"/>
    <w:rsid w:val="740CD04C"/>
    <w:rsid w:val="7596BB14"/>
    <w:rsid w:val="7609B8DD"/>
    <w:rsid w:val="760D654E"/>
    <w:rsid w:val="770A784C"/>
    <w:rsid w:val="77D6EBC8"/>
    <w:rsid w:val="781ED33A"/>
    <w:rsid w:val="78A85DED"/>
    <w:rsid w:val="793BA90F"/>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18"/>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5AIRPNAIUNRU-1830940522-5587</_dlc_DocId>
    <_dlc_DocIdUrl xmlns="71c5aaf6-e6ce-465b-b873-5148d2a4c105">
      <Url>https://nokia.sharepoint.com/sites/c5g/5gradio/_layouts/15/DocIdRedir.aspx?ID=5AIRPNAIUNRU-1830940522-5587</Url>
      <Description>5AIRPNAIUNRU-1830940522-5587</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purl.org/dc/term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http://purl.org/dc/dcmitype/"/>
    <ds:schemaRef ds:uri="ebabf6ce-2443-438c-9946-ecc878e7654a"/>
    <ds:schemaRef ds:uri="95d2e41d-1f11-4347-bb1c-11d6a32975d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338514BA-AF62-456B-9FBD-9AEF7CD23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2019-05-03T17:31:00Z</dcterms:created>
  <dcterms:modified xsi:type="dcterms:W3CDTF">2019-05-03T17:31:00Z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b989dc4b-727f-4c4b-a474-f35d216c44e7</vt:lpwstr>
  </property>
  <property fmtid="{D5CDD505-2E9C-101B-9397-08002B2CF9AE}" pid="9" name="AuthorIds_UIVersion_2048">
    <vt:lpwstr>14130</vt:lpwstr>
  </property>
  <property fmtid="{D5CDD505-2E9C-101B-9397-08002B2CF9AE}" pid="10" name="AuthorIds_UIVersion_512">
    <vt:lpwstr>14130</vt:lpwstr>
  </property>
</Properties>
</file>